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N/>
        <w:bidi w:val="0"/>
        <w:snapToGrid/>
        <w:spacing w:line="579" w:lineRule="exact"/>
        <w:jc w:val="center"/>
        <w:textAlignment w:val="auto"/>
        <w:rPr>
          <w:rFonts w:hint="eastAsia" w:ascii="宋体" w:hAnsi="宋体" w:eastAsia="方正小标宋_GBK" w:cs="方正小标宋_GBK"/>
          <w:sz w:val="44"/>
          <w:szCs w:val="44"/>
        </w:rPr>
      </w:pPr>
      <w:r>
        <w:rPr>
          <w:rFonts w:hint="eastAsia" w:ascii="宋体" w:hAnsi="宋体" w:eastAsia="方正小标宋_GBK" w:cs="方正小标宋_GBK"/>
          <w:sz w:val="44"/>
          <w:szCs w:val="44"/>
          <w:lang w:val="en-US" w:eastAsia="zh-CN"/>
        </w:rPr>
        <w:t>重庆市江津区社会福利院</w:t>
      </w:r>
      <w:r>
        <w:rPr>
          <w:rFonts w:hint="eastAsia" w:ascii="宋体" w:hAnsi="宋体" w:eastAsia="方正小标宋_GBK" w:cs="方正小标宋_GBK"/>
          <w:sz w:val="44"/>
          <w:szCs w:val="44"/>
        </w:rPr>
        <w:t>（</w:t>
      </w:r>
      <w:r>
        <w:rPr>
          <w:rFonts w:hint="eastAsia" w:ascii="宋体" w:hAnsi="宋体" w:eastAsia="方正小标宋_GBK" w:cs="方正小标宋_GBK"/>
          <w:sz w:val="44"/>
          <w:szCs w:val="44"/>
          <w:lang w:val="en-US" w:eastAsia="zh-CN"/>
        </w:rPr>
        <w:t>本级</w:t>
      </w:r>
      <w:r>
        <w:rPr>
          <w:rFonts w:hint="eastAsia" w:ascii="宋体" w:hAnsi="宋体" w:eastAsia="方正小标宋_GBK" w:cs="方正小标宋_GBK"/>
          <w:sz w:val="44"/>
          <w:szCs w:val="44"/>
        </w:rPr>
        <w:t>）</w:t>
      </w:r>
    </w:p>
    <w:p>
      <w:pPr>
        <w:keepNext w:val="0"/>
        <w:keepLines w:val="0"/>
        <w:pageBreakBefore w:val="0"/>
        <w:kinsoku/>
        <w:wordWrap/>
        <w:overflowPunct/>
        <w:topLinePunct w:val="0"/>
        <w:autoSpaceDN/>
        <w:bidi w:val="0"/>
        <w:snapToGrid/>
        <w:spacing w:line="579" w:lineRule="exact"/>
        <w:jc w:val="center"/>
        <w:textAlignment w:val="auto"/>
        <w:rPr>
          <w:rFonts w:hint="eastAsia" w:ascii="宋体" w:hAnsi="宋体" w:eastAsia="方正小标宋_GBK" w:cs="方正小标宋_GBK"/>
          <w:sz w:val="44"/>
          <w:szCs w:val="44"/>
        </w:rPr>
      </w:pPr>
      <w:r>
        <w:rPr>
          <w:rFonts w:hint="eastAsia" w:ascii="宋体" w:hAnsi="宋体" w:eastAsia="方正小标宋_GBK" w:cs="方正小标宋_GBK"/>
          <w:sz w:val="44"/>
          <w:szCs w:val="44"/>
        </w:rPr>
        <w:t>202</w:t>
      </w:r>
      <w:r>
        <w:rPr>
          <w:rFonts w:hint="eastAsia" w:ascii="宋体" w:hAnsi="宋体" w:eastAsia="方正小标宋_GBK" w:cs="方正小标宋_GBK"/>
          <w:sz w:val="44"/>
          <w:szCs w:val="44"/>
          <w:lang w:val="en-US" w:eastAsia="zh-CN"/>
        </w:rPr>
        <w:t>4年度决算公开</w:t>
      </w:r>
      <w:r>
        <w:rPr>
          <w:rFonts w:hint="eastAsia" w:ascii="宋体" w:hAnsi="宋体" w:eastAsia="方正小标宋_GBK" w:cs="方正小标宋_GBK"/>
          <w:sz w:val="44"/>
          <w:szCs w:val="44"/>
        </w:rPr>
        <w:t>说明</w:t>
      </w:r>
    </w:p>
    <w:p>
      <w:pPr>
        <w:keepNext w:val="0"/>
        <w:keepLines w:val="0"/>
        <w:pageBreakBefore w:val="0"/>
        <w:kinsoku/>
        <w:wordWrap/>
        <w:overflowPunct/>
        <w:topLinePunct w:val="0"/>
        <w:autoSpaceDN/>
        <w:bidi w:val="0"/>
        <w:snapToGrid/>
        <w:spacing w:line="579" w:lineRule="exact"/>
        <w:ind w:firstLine="1100" w:firstLineChars="250"/>
        <w:textAlignment w:val="auto"/>
        <w:rPr>
          <w:rFonts w:hint="eastAsia" w:ascii="宋体" w:hAnsi="宋体" w:eastAsia="方正仿宋_GBK" w:cs="方正仿宋_GBK"/>
          <w:sz w:val="44"/>
          <w:szCs w:val="44"/>
        </w:rPr>
      </w:pP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一、单位基本情况</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kern w:val="0"/>
          <w:sz w:val="32"/>
          <w:szCs w:val="32"/>
          <w:lang w:val="en-US" w:eastAsia="zh-CN"/>
        </w:rPr>
      </w:pPr>
      <w:r>
        <w:rPr>
          <w:rFonts w:hint="eastAsia" w:ascii="宋体" w:hAnsi="宋体" w:eastAsia="方正楷体_GBK" w:cs="方正楷体_GBK"/>
          <w:kern w:val="0"/>
          <w:sz w:val="32"/>
          <w:szCs w:val="32"/>
          <w:lang w:eastAsia="zh-CN"/>
        </w:rPr>
        <w:t>（</w:t>
      </w:r>
      <w:r>
        <w:rPr>
          <w:rFonts w:hint="eastAsia" w:ascii="宋体" w:hAnsi="宋体" w:eastAsia="方正楷体_GBK" w:cs="方正楷体_GBK"/>
          <w:kern w:val="0"/>
          <w:sz w:val="32"/>
          <w:szCs w:val="32"/>
          <w:lang w:val="en-US" w:eastAsia="zh-CN"/>
        </w:rPr>
        <w:t>一</w:t>
      </w:r>
      <w:r>
        <w:rPr>
          <w:rFonts w:hint="eastAsia" w:ascii="宋体" w:hAnsi="宋体" w:eastAsia="方正楷体_GBK" w:cs="方正楷体_GBK"/>
          <w:kern w:val="0"/>
          <w:sz w:val="32"/>
          <w:szCs w:val="32"/>
          <w:lang w:eastAsia="zh-CN"/>
        </w:rPr>
        <w:t>）</w:t>
      </w:r>
      <w:r>
        <w:rPr>
          <w:rFonts w:hint="eastAsia" w:ascii="宋体" w:hAnsi="宋体" w:eastAsia="方正楷体_GBK" w:cs="方正楷体_GBK"/>
          <w:kern w:val="0"/>
          <w:sz w:val="32"/>
          <w:szCs w:val="32"/>
          <w:lang w:val="en-US" w:eastAsia="zh-CN"/>
        </w:rPr>
        <w:t>职能职责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9" w:lineRule="exact"/>
        <w:ind w:left="0" w:right="0" w:firstLine="630"/>
        <w:textAlignment w:val="auto"/>
        <w:rPr>
          <w:rFonts w:hint="eastAsia" w:ascii="方正仿宋_GBK" w:hAnsi="方正仿宋_GBK" w:eastAsia="方正仿宋_GBK" w:cs="方正仿宋_GBK"/>
          <w:i w:val="0"/>
          <w:iCs w:val="0"/>
          <w:caps w:val="0"/>
          <w:spacing w:val="0"/>
          <w:sz w:val="32"/>
          <w:szCs w:val="32"/>
          <w:shd w:val="clear" w:color="auto" w:fill="FFFFFF"/>
          <w:lang w:eastAsia="zh-CN"/>
        </w:rPr>
      </w:pPr>
      <w:r>
        <w:rPr>
          <w:rFonts w:hint="eastAsia" w:ascii="方正仿宋_GBK" w:hAnsi="方正仿宋_GBK" w:eastAsia="方正仿宋_GBK" w:cs="方正仿宋_GBK"/>
          <w:i w:val="0"/>
          <w:iCs w:val="0"/>
          <w:caps w:val="0"/>
          <w:spacing w:val="0"/>
          <w:sz w:val="32"/>
          <w:szCs w:val="32"/>
          <w:shd w:val="clear" w:color="auto" w:fill="FFFFFF"/>
          <w:lang w:eastAsia="zh-CN"/>
        </w:rPr>
        <w:t>重庆市江津区社会福利院主要宗旨为：提供收养服务，弘扬救助精神。其主要职责任务为：负责收养无生活来源、无劳动能力、无依无靠人员及其教育、管理和服务工作；负责收养社会弃婴和孤残儿童及其教育、管理和送养工作；负责涉外儿童的收养；面向社会开展老年人代养等服务；承办行政主管部门交办的其它任务。</w:t>
      </w:r>
    </w:p>
    <w:p>
      <w:pPr>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kern w:val="0"/>
          <w:sz w:val="32"/>
          <w:szCs w:val="32"/>
          <w:lang w:eastAsia="zh-CN"/>
        </w:rPr>
      </w:pPr>
      <w:r>
        <w:rPr>
          <w:rFonts w:hint="eastAsia" w:ascii="宋体" w:hAnsi="宋体" w:eastAsia="方正楷体_GBK" w:cs="方正楷体_GBK"/>
          <w:kern w:val="0"/>
          <w:sz w:val="32"/>
          <w:szCs w:val="32"/>
          <w:lang w:val="en-US" w:eastAsia="zh-CN"/>
        </w:rPr>
        <w:t>机构设置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9" w:lineRule="exact"/>
        <w:ind w:right="0"/>
        <w:textAlignment w:val="auto"/>
        <w:rPr>
          <w:rFonts w:hint="eastAsia" w:ascii="方正仿宋_GBK" w:hAnsi="方正仿宋_GBK" w:eastAsia="方正仿宋_GBK" w:cs="方正仿宋_GBK"/>
          <w:i w:val="0"/>
          <w:iCs w:val="0"/>
          <w:caps w:val="0"/>
          <w:spacing w:val="0"/>
          <w:sz w:val="32"/>
          <w:szCs w:val="32"/>
          <w:shd w:val="clear" w:color="auto" w:fill="FFFFFF"/>
          <w:lang w:eastAsia="zh-CN"/>
        </w:rPr>
      </w:pPr>
      <w:r>
        <w:rPr>
          <w:rFonts w:hint="eastAsia" w:ascii="宋体" w:hAnsi="宋体" w:eastAsia="方正楷体_GBK" w:cs="方正楷体_GBK"/>
          <w:kern w:val="0"/>
          <w:sz w:val="32"/>
          <w:szCs w:val="32"/>
          <w:lang w:val="en-US" w:eastAsia="zh-CN"/>
        </w:rPr>
        <w:t xml:space="preserve">    区福利院</w:t>
      </w:r>
      <w:r>
        <w:rPr>
          <w:rFonts w:hint="eastAsia" w:ascii="方正仿宋_GBK" w:hAnsi="方正仿宋_GBK" w:eastAsia="方正仿宋_GBK" w:cs="方正仿宋_GBK"/>
          <w:i w:val="0"/>
          <w:iCs w:val="0"/>
          <w:caps w:val="0"/>
          <w:spacing w:val="0"/>
          <w:sz w:val="32"/>
          <w:szCs w:val="32"/>
          <w:shd w:val="clear" w:color="auto" w:fill="FFFFFF"/>
          <w:lang w:eastAsia="zh-CN"/>
        </w:rPr>
        <w:t>下设科室：院办公室、财务室、儿童部、医疗康复科、养老服务科。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9" w:lineRule="exact"/>
        <w:ind w:right="0" w:firstLine="640" w:firstLineChars="200"/>
        <w:textAlignment w:val="auto"/>
        <w:rPr>
          <w:rFonts w:hint="eastAsia" w:ascii="宋体" w:hAnsi="宋体" w:eastAsia="方正仿宋_GBK" w:cs="方正仿宋_GBK"/>
          <w:kern w:val="0"/>
          <w:sz w:val="32"/>
          <w:szCs w:val="32"/>
          <w:lang w:eastAsia="zh-CN"/>
        </w:rPr>
      </w:pPr>
      <w:r>
        <w:rPr>
          <w:rFonts w:hint="default" w:ascii="方正仿宋_GBK" w:hAnsi="方正仿宋_GBK" w:eastAsia="方正仿宋_GBK" w:cs="方正仿宋_GBK"/>
          <w:i w:val="0"/>
          <w:iCs w:val="0"/>
          <w:caps w:val="0"/>
          <w:spacing w:val="0"/>
          <w:sz w:val="32"/>
          <w:szCs w:val="32"/>
          <w:shd w:val="clear" w:color="auto" w:fill="FFFFFF"/>
          <w:lang w:eastAsia="zh-CN"/>
        </w:rPr>
        <w:t>从预算单位构成看，</w:t>
      </w:r>
      <w:r>
        <w:rPr>
          <w:rFonts w:hint="eastAsia" w:ascii="方正仿宋_GBK" w:hAnsi="方正仿宋_GBK" w:eastAsia="方正仿宋_GBK" w:cs="方正仿宋_GBK"/>
          <w:i w:val="0"/>
          <w:iCs w:val="0"/>
          <w:caps w:val="0"/>
          <w:spacing w:val="0"/>
          <w:sz w:val="32"/>
          <w:szCs w:val="32"/>
          <w:shd w:val="clear" w:color="auto" w:fill="FFFFFF"/>
          <w:lang w:val="en-US" w:eastAsia="zh-CN"/>
        </w:rPr>
        <w:t>2024年纳入区福利院（本级）决算编制的单位为重庆市江津区社会福利院（本级）一个单位</w:t>
      </w:r>
      <w:r>
        <w:rPr>
          <w:rFonts w:hint="default" w:ascii="方正仿宋_GBK" w:hAnsi="方正仿宋_GBK" w:eastAsia="方正仿宋_GBK" w:cs="方正仿宋_GBK"/>
          <w:i w:val="0"/>
          <w:iCs w:val="0"/>
          <w:caps w:val="0"/>
          <w:spacing w:val="0"/>
          <w:sz w:val="32"/>
          <w:szCs w:val="32"/>
          <w:shd w:val="clear" w:color="auto" w:fill="FFFFFF"/>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579" w:lineRule="exact"/>
        <w:ind w:firstLine="640" w:firstLineChars="20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lang w:val="en-US" w:eastAsia="zh-CN"/>
        </w:rPr>
        <w:t>单位</w:t>
      </w:r>
      <w:r>
        <w:rPr>
          <w:rFonts w:hint="eastAsia" w:ascii="宋体" w:hAnsi="宋体" w:eastAsia="方正黑体_GBK" w:cs="方正黑体_GBK"/>
          <w:sz w:val="32"/>
          <w:szCs w:val="32"/>
        </w:rPr>
        <w:t>决算情况</w:t>
      </w:r>
    </w:p>
    <w:p>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Fonts w:hint="eastAsia" w:ascii="宋体" w:hAnsi="宋体" w:eastAsia="方正楷体_GBK" w:cs="方正楷体_GBK"/>
          <w:sz w:val="32"/>
          <w:szCs w:val="32"/>
          <w:lang w:val="en-US" w:eastAsia="zh-CN"/>
        </w:rPr>
        <w:t>单位收支总体情况</w:t>
      </w:r>
    </w:p>
    <w:p>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b/>
          <w:bCs/>
          <w:sz w:val="32"/>
          <w:szCs w:val="32"/>
          <w:lang w:val="en-US" w:eastAsia="zh-CN"/>
        </w:rPr>
      </w:pPr>
      <w:r>
        <w:rPr>
          <w:rFonts w:hint="eastAsia" w:ascii="宋体" w:hAnsi="宋体" w:eastAsia="方正仿宋_GBK" w:cs="方正仿宋_GBK"/>
          <w:b/>
          <w:bCs/>
          <w:sz w:val="32"/>
          <w:szCs w:val="32"/>
          <w:lang w:val="en-US" w:eastAsia="zh-CN"/>
        </w:rPr>
        <w:t>收入支出总体情况。</w:t>
      </w:r>
      <w:r>
        <w:rPr>
          <w:rFonts w:hint="eastAsia" w:ascii="宋体" w:hAnsi="宋体" w:eastAsia="方正仿宋_GBK" w:cs="方正仿宋_GBK"/>
          <w:b w:val="0"/>
          <w:bCs w:val="0"/>
          <w:sz w:val="32"/>
          <w:szCs w:val="32"/>
          <w:lang w:val="en-US" w:eastAsia="zh-CN"/>
        </w:rPr>
        <w:t>2024年度收入总计965.34万元，支出总计965.34万元。收支较上年减少133.75万元，下降12.17%，主要原因为2024年儿童福利院改造项目正在实施中，尚未完工和完成支付。</w:t>
      </w:r>
    </w:p>
    <w:p>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b/>
          <w:bCs/>
          <w:sz w:val="32"/>
          <w:szCs w:val="32"/>
          <w:lang w:val="en-US" w:eastAsia="zh-CN"/>
        </w:rPr>
      </w:pPr>
      <w:r>
        <w:rPr>
          <w:rFonts w:hint="eastAsia" w:ascii="宋体" w:hAnsi="宋体" w:eastAsia="方正仿宋_GBK" w:cs="方正仿宋_GBK"/>
          <w:b/>
          <w:bCs/>
          <w:sz w:val="32"/>
          <w:szCs w:val="32"/>
          <w:lang w:val="en-US" w:eastAsia="zh-CN"/>
        </w:rPr>
        <w:t>收入情况。</w:t>
      </w:r>
      <w:r>
        <w:rPr>
          <w:rFonts w:hint="eastAsia" w:ascii="宋体" w:hAnsi="宋体" w:eastAsia="方正仿宋_GBK" w:cs="方正仿宋_GBK"/>
          <w:b w:val="0"/>
          <w:bCs w:val="0"/>
          <w:sz w:val="32"/>
          <w:szCs w:val="32"/>
          <w:lang w:val="en-US" w:eastAsia="zh-CN"/>
        </w:rPr>
        <w:t>2024年度本年收入合计955.26万元，较上年减少70.43万元，下降6.87%，主要原因为2024年儿童福利院改造项目正在实施中，尚未完工和完成支付。其中：财政拨款收入861.92万元，占比90.23%；事业收入4.43万元，占比0.46%；其他收入88.92万元，占比9.31%。</w:t>
      </w:r>
      <w:r>
        <w:rPr>
          <w:rFonts w:ascii="方正仿宋_GBK" w:hAnsi="方正仿宋_GBK" w:eastAsia="方正仿宋_GBK" w:cs="方正仿宋_GBK"/>
          <w:sz w:val="32"/>
          <w:szCs w:val="32"/>
          <w:shd w:val="clear" w:color="auto" w:fill="FFFFFF"/>
        </w:rPr>
        <w:t>此外，使用非财政拨款结余和专用结余</w:t>
      </w:r>
      <w:r>
        <w:rPr>
          <w:rFonts w:hint="eastAsia" w:ascii="方正仿宋_GBK" w:hAnsi="方正仿宋_GBK" w:eastAsia="方正仿宋_GBK" w:cs="方正仿宋_GBK"/>
          <w:sz w:val="32"/>
          <w:szCs w:val="32"/>
          <w:shd w:val="clear" w:color="auto" w:fill="FFFFFF"/>
          <w:lang w:val="en-US" w:eastAsia="zh-CN"/>
        </w:rPr>
        <w:t>0</w:t>
      </w:r>
      <w:r>
        <w:rPr>
          <w:rFonts w:ascii="方正仿宋_GBK" w:hAnsi="方正仿宋_GBK" w:eastAsia="方正仿宋_GBK" w:cs="方正仿宋_GBK"/>
          <w:sz w:val="32"/>
          <w:szCs w:val="32"/>
          <w:shd w:val="clear" w:color="auto" w:fill="FFFFFF"/>
        </w:rPr>
        <w:t>万元，年初结转和结余</w:t>
      </w:r>
      <w:r>
        <w:rPr>
          <w:rFonts w:hint="eastAsia" w:ascii="方正仿宋_GBK" w:hAnsi="方正仿宋_GBK" w:eastAsia="方正仿宋_GBK" w:cs="方正仿宋_GBK"/>
          <w:sz w:val="32"/>
          <w:szCs w:val="32"/>
          <w:shd w:val="clear" w:color="auto" w:fill="FFFFFF"/>
          <w:lang w:val="en-US" w:eastAsia="zh-CN"/>
        </w:rPr>
        <w:t>10.08</w:t>
      </w:r>
      <w:r>
        <w:rPr>
          <w:rFonts w:ascii="方正仿宋_GBK" w:hAnsi="方正仿宋_GBK" w:eastAsia="方正仿宋_GBK" w:cs="方正仿宋_GBK"/>
          <w:sz w:val="32"/>
          <w:szCs w:val="32"/>
          <w:shd w:val="clear" w:color="auto" w:fill="FFFFFF"/>
        </w:rPr>
        <w:t>万元。</w:t>
      </w:r>
    </w:p>
    <w:p>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b/>
          <w:bCs/>
          <w:sz w:val="32"/>
          <w:szCs w:val="32"/>
          <w:lang w:val="en-US" w:eastAsia="zh-CN"/>
        </w:rPr>
      </w:pPr>
      <w:r>
        <w:rPr>
          <w:rFonts w:hint="eastAsia" w:ascii="宋体" w:hAnsi="宋体" w:eastAsia="方正仿宋_GBK" w:cs="方正仿宋_GBK"/>
          <w:b/>
          <w:bCs/>
          <w:sz w:val="32"/>
          <w:szCs w:val="32"/>
          <w:lang w:val="en-US" w:eastAsia="zh-CN"/>
        </w:rPr>
        <w:t>支出情况。</w:t>
      </w:r>
      <w:r>
        <w:rPr>
          <w:rFonts w:hint="eastAsia" w:ascii="宋体" w:hAnsi="宋体" w:eastAsia="方正仿宋_GBK" w:cs="方正仿宋_GBK"/>
          <w:b w:val="0"/>
          <w:bCs w:val="0"/>
          <w:sz w:val="32"/>
          <w:szCs w:val="32"/>
          <w:lang w:val="en-US" w:eastAsia="zh-CN"/>
        </w:rPr>
        <w:t>2024年度本年支出合计944.88万元，</w:t>
      </w:r>
      <w:r>
        <w:rPr>
          <w:rFonts w:hint="eastAsia" w:ascii="宋体" w:hAnsi="宋体" w:eastAsia="方正仿宋_GBK" w:cs="方正仿宋_GBK"/>
          <w:sz w:val="32"/>
        </w:rPr>
        <w:t>较</w:t>
      </w:r>
      <w:r>
        <w:rPr>
          <w:rFonts w:hint="eastAsia" w:ascii="宋体" w:hAnsi="宋体" w:eastAsia="方正仿宋_GBK" w:cs="方正仿宋_GBK"/>
          <w:sz w:val="32"/>
          <w:lang w:val="en-US" w:eastAsia="zh-CN"/>
        </w:rPr>
        <w:t>上年减少136.78</w:t>
      </w:r>
      <w:r>
        <w:rPr>
          <w:rFonts w:hint="eastAsia" w:ascii="宋体" w:hAnsi="宋体" w:eastAsia="方正仿宋_GBK" w:cs="方正仿宋_GBK"/>
          <w:sz w:val="32"/>
        </w:rPr>
        <w:t>万元，</w:t>
      </w:r>
      <w:r>
        <w:rPr>
          <w:rFonts w:hint="eastAsia" w:ascii="宋体" w:hAnsi="宋体" w:eastAsia="方正仿宋_GBK" w:cs="方正仿宋_GBK"/>
          <w:sz w:val="32"/>
          <w:lang w:val="en-US" w:eastAsia="zh-CN"/>
        </w:rPr>
        <w:t>下降12.65</w:t>
      </w:r>
      <w:r>
        <w:rPr>
          <w:rFonts w:hint="eastAsia" w:ascii="宋体" w:hAnsi="宋体" w:eastAsia="方正仿宋_GBK" w:cs="方正仿宋_GBK"/>
          <w:b w:val="0"/>
          <w:bCs w:val="0"/>
          <w:sz w:val="32"/>
          <w:szCs w:val="32"/>
          <w:lang w:val="en-US" w:eastAsia="zh-CN"/>
        </w:rPr>
        <w:t>%，</w:t>
      </w:r>
      <w:r>
        <w:rPr>
          <w:rFonts w:hint="eastAsia" w:ascii="宋体" w:hAnsi="宋体" w:eastAsia="方正仿宋_GBK" w:cs="方正仿宋_GBK"/>
          <w:sz w:val="32"/>
        </w:rPr>
        <w:t>主要</w:t>
      </w:r>
      <w:r>
        <w:rPr>
          <w:rFonts w:hint="eastAsia" w:ascii="宋体" w:hAnsi="宋体" w:eastAsia="方正仿宋_GBK" w:cs="方正仿宋_GBK"/>
          <w:sz w:val="32"/>
          <w:lang w:val="en-US" w:eastAsia="zh-CN"/>
        </w:rPr>
        <w:t>原因为</w:t>
      </w:r>
      <w:r>
        <w:rPr>
          <w:rFonts w:hint="eastAsia" w:ascii="宋体" w:hAnsi="宋体" w:eastAsia="方正仿宋_GBK" w:cs="方正仿宋_GBK"/>
          <w:b w:val="0"/>
          <w:bCs w:val="0"/>
          <w:sz w:val="32"/>
          <w:szCs w:val="32"/>
          <w:lang w:val="en-US" w:eastAsia="zh-CN"/>
        </w:rPr>
        <w:t>2024年儿童福利院改造项目正在实施中，尚未完工和完成支付</w:t>
      </w:r>
      <w:r>
        <w:rPr>
          <w:rFonts w:hint="eastAsia" w:ascii="宋体" w:hAnsi="宋体" w:eastAsia="方正仿宋_GBK" w:cs="方正仿宋_GBK"/>
          <w:sz w:val="32"/>
          <w:lang w:val="en-US" w:eastAsia="zh-CN"/>
        </w:rPr>
        <w:t>。</w:t>
      </w:r>
      <w:r>
        <w:rPr>
          <w:rFonts w:hint="eastAsia" w:ascii="宋体" w:hAnsi="宋体" w:eastAsia="方正仿宋_GBK" w:cs="方正仿宋_GBK"/>
          <w:b w:val="0"/>
          <w:bCs w:val="0"/>
          <w:sz w:val="32"/>
          <w:szCs w:val="32"/>
          <w:lang w:val="en-US" w:eastAsia="zh-CN"/>
        </w:rPr>
        <w:t>其中：基本支出792.38万元，占比83.86%；项目支出152.5万元，占比16.14%。</w:t>
      </w:r>
    </w:p>
    <w:p>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kern w:val="0"/>
          <w:sz w:val="32"/>
          <w:szCs w:val="32"/>
          <w:lang w:val="en-US" w:eastAsia="zh-CN"/>
        </w:rPr>
      </w:pPr>
      <w:r>
        <w:rPr>
          <w:rFonts w:hint="eastAsia" w:ascii="宋体" w:hAnsi="宋体" w:eastAsia="方正仿宋_GBK" w:cs="方正仿宋_GBK"/>
          <w:b/>
          <w:bCs/>
          <w:sz w:val="32"/>
          <w:szCs w:val="32"/>
          <w:lang w:val="en-US" w:eastAsia="zh-CN"/>
        </w:rPr>
        <w:t>结转结余情况。</w:t>
      </w:r>
      <w:r>
        <w:rPr>
          <w:rFonts w:hint="eastAsia" w:ascii="宋体" w:hAnsi="宋体" w:eastAsia="方正仿宋_GBK" w:cs="方正仿宋_GBK"/>
          <w:b w:val="0"/>
          <w:bCs w:val="0"/>
          <w:sz w:val="32"/>
          <w:szCs w:val="32"/>
          <w:lang w:val="en-US" w:eastAsia="zh-CN"/>
        </w:rPr>
        <w:t>2024年度年末结转和结余20.46万元，与2023年度相比增加3.03万元，主要原因是其他收入结转和结余增加</w:t>
      </w:r>
      <w:r>
        <w:rPr>
          <w:rFonts w:hint="eastAsia" w:ascii="宋体" w:hAnsi="宋体" w:eastAsia="方正仿宋_GBK" w:cs="方正仿宋_GBK"/>
          <w:kern w:val="0"/>
          <w:sz w:val="32"/>
          <w:szCs w:val="32"/>
          <w:lang w:val="en-US"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Fonts w:hint="eastAsia" w:ascii="宋体" w:hAnsi="宋体" w:eastAsia="方正楷体_GBK" w:cs="方正楷体_GBK"/>
          <w:sz w:val="32"/>
          <w:szCs w:val="32"/>
          <w:lang w:val="en-US" w:eastAsia="zh-CN"/>
        </w:rPr>
        <w:t>财政拨款收支总体情况</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lang w:val="en-US" w:eastAsia="zh-CN"/>
        </w:rPr>
      </w:pPr>
      <w:r>
        <w:rPr>
          <w:rFonts w:hint="eastAsia" w:ascii="宋体" w:hAnsi="宋体" w:eastAsia="方正仿宋_GBK" w:cs="方正仿宋_GBK"/>
          <w:sz w:val="32"/>
          <w:lang w:val="en-US" w:eastAsia="zh-CN"/>
        </w:rPr>
        <w:t>2024年度财政拨款收入总计861.92万元，支出总计861.92万元。</w:t>
      </w:r>
      <w:r>
        <w:rPr>
          <w:rFonts w:hint="eastAsia" w:ascii="宋体" w:hAnsi="宋体" w:eastAsia="方正仿宋_GBK" w:cs="方正仿宋_GBK"/>
          <w:sz w:val="32"/>
        </w:rPr>
        <w:t>收支较上年</w:t>
      </w:r>
      <w:r>
        <w:rPr>
          <w:rFonts w:hint="eastAsia" w:ascii="宋体" w:hAnsi="宋体" w:eastAsia="方正仿宋_GBK" w:cs="方正仿宋_GBK"/>
          <w:sz w:val="32"/>
          <w:lang w:val="en-US" w:eastAsia="zh-CN"/>
        </w:rPr>
        <w:t>减少70.57</w:t>
      </w:r>
      <w:r>
        <w:rPr>
          <w:rFonts w:hint="eastAsia" w:ascii="宋体" w:hAnsi="宋体" w:eastAsia="方正仿宋_GBK" w:cs="方正仿宋_GBK"/>
          <w:sz w:val="32"/>
        </w:rPr>
        <w:t>万元</w:t>
      </w:r>
      <w:r>
        <w:rPr>
          <w:rFonts w:hint="eastAsia" w:ascii="宋体" w:hAnsi="宋体" w:eastAsia="方正仿宋_GBK" w:cs="方正仿宋_GBK"/>
          <w:sz w:val="32"/>
          <w:lang w:eastAsia="zh-CN"/>
        </w:rPr>
        <w:t>，</w:t>
      </w:r>
      <w:r>
        <w:rPr>
          <w:rFonts w:hint="eastAsia" w:ascii="宋体" w:hAnsi="宋体" w:eastAsia="方正仿宋_GBK" w:cs="方正仿宋_GBK"/>
          <w:sz w:val="32"/>
          <w:lang w:val="en-US" w:eastAsia="zh-CN"/>
        </w:rPr>
        <w:t>下降7.57%，</w:t>
      </w:r>
      <w:r>
        <w:rPr>
          <w:rFonts w:hint="eastAsia" w:ascii="宋体" w:hAnsi="宋体" w:eastAsia="方正仿宋_GBK" w:cs="方正仿宋_GBK"/>
          <w:sz w:val="32"/>
        </w:rPr>
        <w:t>主要原因</w:t>
      </w:r>
      <w:r>
        <w:rPr>
          <w:rFonts w:hint="eastAsia" w:ascii="宋体" w:hAnsi="宋体" w:eastAsia="方正仿宋_GBK" w:cs="方正仿宋_GBK"/>
          <w:sz w:val="32"/>
          <w:lang w:val="en-US" w:eastAsia="zh-CN"/>
        </w:rPr>
        <w:t>为</w:t>
      </w:r>
      <w:r>
        <w:rPr>
          <w:rFonts w:hint="eastAsia" w:ascii="宋体" w:hAnsi="宋体" w:eastAsia="方正仿宋_GBK" w:cs="方正仿宋_GBK"/>
          <w:b w:val="0"/>
          <w:bCs w:val="0"/>
          <w:sz w:val="32"/>
          <w:szCs w:val="32"/>
          <w:lang w:val="en-US" w:eastAsia="zh-CN"/>
        </w:rPr>
        <w:t>2024年儿童福利院改造项目正在实施中，尚未完工和完成支付</w:t>
      </w:r>
      <w:r>
        <w:rPr>
          <w:rFonts w:hint="eastAsia" w:ascii="宋体" w:hAnsi="宋体" w:eastAsia="方正仿宋_GBK" w:cs="方正仿宋_GBK"/>
          <w:sz w:val="32"/>
          <w:lang w:val="en-US"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Fonts w:hint="eastAsia" w:ascii="宋体" w:hAnsi="宋体" w:eastAsia="方正楷体_GBK" w:cs="方正楷体_GBK"/>
          <w:sz w:val="32"/>
          <w:szCs w:val="32"/>
          <w:lang w:val="en-US" w:eastAsia="zh-CN"/>
        </w:rPr>
        <w:t>一般公共预算财政拨款收支总体情况</w:t>
      </w:r>
    </w:p>
    <w:p>
      <w:pPr>
        <w:keepNext w:val="0"/>
        <w:keepLines w:val="0"/>
        <w:pageBreakBefore w:val="0"/>
        <w:numPr>
          <w:ilvl w:val="0"/>
          <w:numId w:val="5"/>
        </w:numPr>
        <w:kinsoku/>
        <w:wordWrap/>
        <w:overflowPunct/>
        <w:topLinePunct w:val="0"/>
        <w:autoSpaceDN/>
        <w:bidi w:val="0"/>
        <w:snapToGrid/>
        <w:spacing w:line="579" w:lineRule="exact"/>
        <w:ind w:firstLine="640" w:firstLineChars="200"/>
        <w:textAlignment w:val="auto"/>
        <w:rPr>
          <w:rFonts w:hint="eastAsia" w:ascii="宋体" w:hAnsi="宋体" w:eastAsia="方正仿宋_GBK" w:cs="方正仿宋_GBK"/>
          <w:b/>
          <w:bCs/>
          <w:sz w:val="32"/>
          <w:lang w:val="en-US" w:eastAsia="zh-CN"/>
        </w:rPr>
      </w:pPr>
      <w:r>
        <w:rPr>
          <w:rFonts w:hint="eastAsia" w:ascii="宋体" w:hAnsi="宋体" w:eastAsia="方正仿宋_GBK" w:cs="方正仿宋_GBK"/>
          <w:b/>
          <w:bCs/>
          <w:sz w:val="32"/>
          <w:lang w:val="en-US" w:eastAsia="zh-CN"/>
        </w:rPr>
        <w:t>收入情况。</w:t>
      </w:r>
      <w:r>
        <w:rPr>
          <w:rFonts w:hint="eastAsia" w:ascii="宋体" w:hAnsi="宋体" w:eastAsia="方正仿宋_GBK" w:cs="方正仿宋_GBK"/>
          <w:color w:val="auto"/>
          <w:sz w:val="32"/>
        </w:rPr>
        <w:t>202</w:t>
      </w:r>
      <w:r>
        <w:rPr>
          <w:rFonts w:hint="eastAsia" w:ascii="宋体" w:hAnsi="宋体" w:eastAsia="方正仿宋_GBK" w:cs="方正仿宋_GBK"/>
          <w:color w:val="auto"/>
          <w:sz w:val="32"/>
          <w:lang w:val="en-US" w:eastAsia="zh-CN"/>
        </w:rPr>
        <w:t>4</w:t>
      </w:r>
      <w:r>
        <w:rPr>
          <w:rFonts w:hint="eastAsia" w:ascii="宋体" w:hAnsi="宋体" w:eastAsia="方正仿宋_GBK" w:cs="方正仿宋_GBK"/>
          <w:color w:val="auto"/>
          <w:sz w:val="32"/>
        </w:rPr>
        <w:t>年度一般公共预算财政拨款收入</w:t>
      </w:r>
      <w:r>
        <w:rPr>
          <w:rFonts w:hint="eastAsia" w:ascii="宋体" w:hAnsi="宋体" w:eastAsia="方正仿宋_GBK" w:cs="方正仿宋_GBK"/>
          <w:color w:val="auto"/>
          <w:sz w:val="32"/>
          <w:lang w:val="en-US" w:eastAsia="zh-CN"/>
        </w:rPr>
        <w:t>856.51</w:t>
      </w:r>
      <w:r>
        <w:rPr>
          <w:rFonts w:hint="eastAsia" w:ascii="宋体" w:hAnsi="宋体" w:eastAsia="方正仿宋_GBK" w:cs="方正仿宋_GBK"/>
          <w:color w:val="auto"/>
          <w:sz w:val="32"/>
        </w:rPr>
        <w:t>万元，较上年</w:t>
      </w:r>
      <w:r>
        <w:rPr>
          <w:rFonts w:hint="eastAsia" w:ascii="宋体" w:hAnsi="宋体" w:eastAsia="方正仿宋_GBK" w:cs="方正仿宋_GBK"/>
          <w:color w:val="auto"/>
          <w:sz w:val="32"/>
          <w:lang w:val="en-US" w:eastAsia="zh-CN"/>
        </w:rPr>
        <w:t>决算数减少8.92</w:t>
      </w:r>
      <w:r>
        <w:rPr>
          <w:rFonts w:hint="eastAsia" w:ascii="宋体" w:hAnsi="宋体" w:eastAsia="方正仿宋_GBK" w:cs="方正仿宋_GBK"/>
          <w:color w:val="auto"/>
          <w:sz w:val="32"/>
        </w:rPr>
        <w:t>万元，</w:t>
      </w:r>
      <w:r>
        <w:rPr>
          <w:rFonts w:hint="eastAsia" w:ascii="宋体" w:hAnsi="宋体" w:eastAsia="方正仿宋_GBK" w:cs="方正仿宋_GBK"/>
          <w:color w:val="auto"/>
          <w:sz w:val="32"/>
          <w:lang w:val="en-US" w:eastAsia="zh-CN"/>
        </w:rPr>
        <w:t>下降1.03</w:t>
      </w:r>
      <w:r>
        <w:rPr>
          <w:rFonts w:hint="eastAsia" w:ascii="宋体" w:hAnsi="宋体" w:eastAsia="方正仿宋_GBK" w:cs="方正仿宋_GBK"/>
          <w:color w:val="auto"/>
          <w:sz w:val="32"/>
        </w:rPr>
        <w:t>%</w:t>
      </w:r>
      <w:r>
        <w:rPr>
          <w:rFonts w:hint="eastAsia" w:ascii="宋体" w:hAnsi="宋体" w:eastAsia="方正仿宋_GBK" w:cs="方正仿宋_GBK"/>
          <w:color w:val="auto"/>
          <w:sz w:val="32"/>
          <w:lang w:eastAsia="zh-CN"/>
        </w:rPr>
        <w:t>，</w:t>
      </w:r>
      <w:r>
        <w:rPr>
          <w:rFonts w:hint="eastAsia" w:ascii="宋体" w:hAnsi="宋体" w:eastAsia="方正仿宋_GBK" w:cs="方正仿宋_GBK"/>
          <w:color w:val="auto"/>
          <w:sz w:val="32"/>
        </w:rPr>
        <w:t>主要原因</w:t>
      </w:r>
      <w:r>
        <w:rPr>
          <w:rFonts w:hint="eastAsia" w:ascii="宋体" w:hAnsi="宋体" w:eastAsia="方正仿宋_GBK" w:cs="方正仿宋_GBK"/>
          <w:color w:val="auto"/>
          <w:sz w:val="32"/>
          <w:lang w:val="en-US" w:eastAsia="zh-CN"/>
        </w:rPr>
        <w:t>为人员公用经费减少。较年初预算数减少48.21万元，下降5.33%，主要原因是年中在职职工退休，相关人员经费减少；2024年8月集中供养孤残儿童移送重庆市儿童福利院，相关人员经费减少。</w:t>
      </w:r>
      <w:r>
        <w:rPr>
          <w:rFonts w:ascii="方正仿宋_GBK" w:hAnsi="方正仿宋_GBK" w:eastAsia="方正仿宋_GBK" w:cs="方正仿宋_GBK"/>
          <w:sz w:val="32"/>
          <w:szCs w:val="32"/>
          <w:shd w:val="clear" w:color="auto" w:fill="FFFFFF"/>
        </w:rPr>
        <w:t>此外，年初财政拨款结转和结余</w:t>
      </w:r>
      <w:r>
        <w:rPr>
          <w:rFonts w:hint="eastAsia" w:ascii="方正仿宋_GBK" w:hAnsi="方正仿宋_GBK" w:eastAsia="方正仿宋_GBK" w:cs="方正仿宋_GBK"/>
          <w:sz w:val="32"/>
          <w:szCs w:val="32"/>
          <w:shd w:val="clear" w:color="auto" w:fill="FFFFFF"/>
          <w:lang w:val="en-US" w:eastAsia="zh-CN"/>
        </w:rPr>
        <w:t>0</w:t>
      </w:r>
      <w:r>
        <w:rPr>
          <w:rFonts w:ascii="方正仿宋_GBK" w:hAnsi="方正仿宋_GBK" w:eastAsia="方正仿宋_GBK" w:cs="方正仿宋_GBK"/>
          <w:sz w:val="32"/>
          <w:szCs w:val="32"/>
          <w:shd w:val="clear" w:color="auto" w:fill="FFFFFF"/>
        </w:rPr>
        <w:t>万元。</w:t>
      </w:r>
    </w:p>
    <w:p>
      <w:pPr>
        <w:keepNext w:val="0"/>
        <w:keepLines w:val="0"/>
        <w:pageBreakBefore w:val="0"/>
        <w:numPr>
          <w:ilvl w:val="0"/>
          <w:numId w:val="5"/>
        </w:numPr>
        <w:kinsoku/>
        <w:wordWrap/>
        <w:overflowPunct/>
        <w:topLinePunct w:val="0"/>
        <w:autoSpaceDN/>
        <w:bidi w:val="0"/>
        <w:snapToGrid/>
        <w:spacing w:line="579" w:lineRule="exact"/>
        <w:ind w:firstLine="640" w:firstLineChars="200"/>
        <w:textAlignment w:val="auto"/>
        <w:rPr>
          <w:rFonts w:hint="eastAsia" w:ascii="宋体" w:hAnsi="宋体" w:eastAsia="方正仿宋_GBK" w:cs="方正仿宋_GBK"/>
          <w:b/>
          <w:bCs/>
          <w:sz w:val="32"/>
          <w:lang w:val="en-US" w:eastAsia="zh-CN"/>
        </w:rPr>
      </w:pPr>
      <w:r>
        <w:rPr>
          <w:rFonts w:hint="eastAsia" w:ascii="宋体" w:hAnsi="宋体" w:eastAsia="方正仿宋_GBK" w:cs="方正仿宋_GBK"/>
          <w:b/>
          <w:bCs/>
          <w:sz w:val="32"/>
          <w:lang w:val="en-US" w:eastAsia="zh-CN"/>
        </w:rPr>
        <w:t>支出情况。</w:t>
      </w:r>
      <w:r>
        <w:rPr>
          <w:rFonts w:hint="eastAsia" w:ascii="宋体" w:hAnsi="宋体" w:eastAsia="方正仿宋_GBK" w:cs="方正仿宋_GBK"/>
          <w:color w:val="auto"/>
          <w:sz w:val="32"/>
          <w:lang w:val="en-US" w:eastAsia="zh-CN"/>
        </w:rPr>
        <w:t>2024年度一般公共预算财政拨款支出856.51万元，</w:t>
      </w:r>
      <w:r>
        <w:rPr>
          <w:rFonts w:hint="eastAsia" w:ascii="宋体" w:hAnsi="宋体" w:eastAsia="方正仿宋_GBK" w:cs="方正仿宋_GBK"/>
          <w:color w:val="auto"/>
          <w:sz w:val="32"/>
        </w:rPr>
        <w:t>较上年决算数</w:t>
      </w:r>
      <w:r>
        <w:rPr>
          <w:rFonts w:hint="eastAsia" w:ascii="宋体" w:hAnsi="宋体" w:eastAsia="方正仿宋_GBK" w:cs="方正仿宋_GBK"/>
          <w:color w:val="auto"/>
          <w:sz w:val="32"/>
          <w:lang w:val="en-US" w:eastAsia="zh-CN"/>
        </w:rPr>
        <w:t>减少8.92</w:t>
      </w:r>
      <w:r>
        <w:rPr>
          <w:rFonts w:hint="eastAsia" w:ascii="宋体" w:hAnsi="宋体" w:eastAsia="方正仿宋_GBK" w:cs="方正仿宋_GBK"/>
          <w:color w:val="auto"/>
          <w:sz w:val="32"/>
        </w:rPr>
        <w:t>万元，</w:t>
      </w:r>
      <w:r>
        <w:rPr>
          <w:rFonts w:hint="eastAsia" w:ascii="宋体" w:hAnsi="宋体" w:eastAsia="方正仿宋_GBK" w:cs="方正仿宋_GBK"/>
          <w:color w:val="auto"/>
          <w:sz w:val="32"/>
          <w:lang w:val="en-US" w:eastAsia="zh-CN"/>
        </w:rPr>
        <w:t>下降1.03</w:t>
      </w:r>
      <w:r>
        <w:rPr>
          <w:rFonts w:hint="eastAsia" w:ascii="宋体" w:hAnsi="宋体" w:eastAsia="方正仿宋_GBK" w:cs="方正仿宋_GBK"/>
          <w:color w:val="auto"/>
          <w:sz w:val="32"/>
        </w:rPr>
        <w:t>%</w:t>
      </w:r>
      <w:r>
        <w:rPr>
          <w:rFonts w:hint="eastAsia" w:ascii="宋体" w:hAnsi="宋体" w:eastAsia="方正仿宋_GBK" w:cs="方正仿宋_GBK"/>
          <w:color w:val="auto"/>
          <w:sz w:val="32"/>
          <w:lang w:eastAsia="zh-CN"/>
        </w:rPr>
        <w:t>，</w:t>
      </w:r>
      <w:r>
        <w:rPr>
          <w:rFonts w:hint="eastAsia" w:ascii="宋体" w:hAnsi="宋体" w:eastAsia="方正仿宋_GBK" w:cs="方正仿宋_GBK"/>
          <w:color w:val="auto"/>
          <w:sz w:val="32"/>
        </w:rPr>
        <w:t>主要原因是</w:t>
      </w:r>
      <w:r>
        <w:rPr>
          <w:rFonts w:hint="eastAsia" w:ascii="宋体" w:hAnsi="宋体" w:eastAsia="方正仿宋_GBK" w:cs="方正仿宋_GBK"/>
          <w:color w:val="auto"/>
          <w:sz w:val="32"/>
          <w:lang w:val="en-US" w:eastAsia="zh-CN"/>
        </w:rPr>
        <w:t>人员公用经费减少。较年初预算数减少48.21万元，下降5.33%，主要原因是年中在职职工退休，相关人员经费减少；2024年8月集中供养儿童移送重庆市儿童福利院，相关人员经费减少。</w:t>
      </w:r>
    </w:p>
    <w:p>
      <w:pPr>
        <w:keepNext w:val="0"/>
        <w:keepLines w:val="0"/>
        <w:pageBreakBefore w:val="0"/>
        <w:numPr>
          <w:ilvl w:val="0"/>
          <w:numId w:val="5"/>
        </w:numPr>
        <w:kinsoku/>
        <w:wordWrap/>
        <w:overflowPunct/>
        <w:topLinePunct w:val="0"/>
        <w:autoSpaceDN/>
        <w:bidi w:val="0"/>
        <w:snapToGrid/>
        <w:spacing w:line="579" w:lineRule="exact"/>
        <w:ind w:firstLine="640" w:firstLineChars="200"/>
        <w:textAlignment w:val="auto"/>
        <w:rPr>
          <w:rFonts w:hint="eastAsia" w:ascii="宋体" w:hAnsi="宋体" w:eastAsia="方正仿宋_GBK" w:cs="方正仿宋_GBK"/>
          <w:b/>
          <w:bCs/>
          <w:sz w:val="32"/>
          <w:lang w:val="en-US" w:eastAsia="zh-CN"/>
        </w:rPr>
      </w:pPr>
      <w:r>
        <w:rPr>
          <w:rFonts w:hint="eastAsia" w:ascii="宋体" w:hAnsi="宋体" w:eastAsia="方正仿宋_GBK" w:cs="方正仿宋_GBK"/>
          <w:b/>
          <w:bCs/>
          <w:color w:val="auto"/>
          <w:sz w:val="32"/>
          <w:lang w:val="en-US" w:eastAsia="zh-CN"/>
        </w:rPr>
        <w:t>结转结余情况。</w:t>
      </w:r>
      <w:r>
        <w:rPr>
          <w:rFonts w:hint="eastAsia" w:ascii="方正仿宋_GBK" w:hAnsi="方正仿宋_GBK" w:eastAsia="方正仿宋_GBK" w:cs="方正仿宋_GBK"/>
          <w:sz w:val="32"/>
          <w:szCs w:val="32"/>
          <w:shd w:val="clear" w:color="auto" w:fill="FFFFFF"/>
          <w:lang w:eastAsia="zh-CN"/>
        </w:rPr>
        <w:t>2024年</w:t>
      </w:r>
      <w:r>
        <w:rPr>
          <w:rFonts w:ascii="方正仿宋_GBK" w:hAnsi="方正仿宋_GBK" w:eastAsia="方正仿宋_GBK" w:cs="方正仿宋_GBK"/>
          <w:sz w:val="32"/>
          <w:szCs w:val="32"/>
          <w:shd w:val="clear" w:color="auto" w:fill="FFFFFF"/>
        </w:rPr>
        <w:t>度年末一般公共预算财政拨款结转和结余</w:t>
      </w:r>
      <w:r>
        <w:rPr>
          <w:rFonts w:hint="eastAsia" w:ascii="方正仿宋_GBK" w:hAnsi="方正仿宋_GBK" w:eastAsia="方正仿宋_GBK" w:cs="方正仿宋_GBK"/>
          <w:sz w:val="32"/>
          <w:szCs w:val="32"/>
          <w:shd w:val="clear" w:color="auto" w:fill="FFFFFF"/>
          <w:lang w:val="en-US" w:eastAsia="zh-CN"/>
        </w:rPr>
        <w:t>0</w:t>
      </w:r>
      <w:r>
        <w:rPr>
          <w:rFonts w:ascii="方正仿宋_GBK" w:hAnsi="方正仿宋_GBK" w:eastAsia="方正仿宋_GBK" w:cs="方正仿宋_GBK"/>
          <w:sz w:val="32"/>
          <w:szCs w:val="32"/>
          <w:shd w:val="clear" w:color="auto" w:fill="FFFFFF"/>
        </w:rPr>
        <w:t>万元，与2023年度相比</w:t>
      </w:r>
      <w:r>
        <w:rPr>
          <w:rFonts w:hint="eastAsia" w:ascii="方正仿宋_GBK" w:hAnsi="方正仿宋_GBK" w:eastAsia="方正仿宋_GBK" w:cs="方正仿宋_GBK"/>
          <w:sz w:val="32"/>
          <w:szCs w:val="32"/>
          <w:shd w:val="clear" w:color="auto" w:fill="FFFFFF"/>
          <w:lang w:val="en-US" w:eastAsia="zh-CN"/>
        </w:rPr>
        <w:t>无增减变化。</w:t>
      </w:r>
    </w:p>
    <w:p>
      <w:pPr>
        <w:pStyle w:val="5"/>
        <w:keepNext w:val="0"/>
        <w:keepLines w:val="0"/>
        <w:pageBreakBefore w:val="0"/>
        <w:widowControl/>
        <w:numPr>
          <w:ilvl w:val="0"/>
          <w:numId w:val="5"/>
        </w:numPr>
        <w:suppressLineNumbers w:val="0"/>
        <w:kinsoku/>
        <w:wordWrap/>
        <w:overflowPunct/>
        <w:topLinePunct w:val="0"/>
        <w:autoSpaceDE/>
        <w:autoSpaceDN/>
        <w:bidi w:val="0"/>
        <w:adjustRightInd/>
        <w:snapToGrid/>
        <w:spacing w:before="0" w:beforeAutospacing="0" w:after="0" w:afterAutospacing="0" w:line="579" w:lineRule="exact"/>
        <w:ind w:left="0" w:leftChars="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b/>
          <w:bCs/>
          <w:kern w:val="2"/>
          <w:sz w:val="32"/>
          <w:szCs w:val="22"/>
          <w:lang w:val="en-US" w:eastAsia="zh-CN" w:bidi="ar-SA"/>
        </w:rPr>
        <w:t>比较情况。</w:t>
      </w:r>
      <w:r>
        <w:rPr>
          <w:rFonts w:hint="eastAsia" w:ascii="宋体" w:hAnsi="宋体" w:eastAsia="方正仿宋_GBK" w:cs="方正仿宋_GBK"/>
          <w:color w:val="auto"/>
          <w:sz w:val="32"/>
          <w:lang w:val="en-US" w:eastAsia="zh-CN"/>
        </w:rPr>
        <w:t>本单位2024年度一般公共预算财政拨款支出主要用于以下几个方面：</w:t>
      </w:r>
    </w:p>
    <w:p>
      <w:pPr>
        <w:pStyle w:val="5"/>
        <w:keepNext w:val="0"/>
        <w:keepLines w:val="0"/>
        <w:pageBreakBefore w:val="0"/>
        <w:widowControl/>
        <w:numPr>
          <w:ilvl w:val="0"/>
          <w:numId w:val="6"/>
        </w:numPr>
        <w:suppressLineNumbers w:val="0"/>
        <w:kinsoku/>
        <w:wordWrap/>
        <w:overflowPunct/>
        <w:topLinePunct w:val="0"/>
        <w:autoSpaceDE/>
        <w:autoSpaceDN/>
        <w:bidi w:val="0"/>
        <w:adjustRightInd/>
        <w:snapToGrid/>
        <w:spacing w:before="0" w:beforeAutospacing="0" w:after="0" w:afterAutospacing="0" w:line="579" w:lineRule="exact"/>
        <w:ind w:firstLine="320" w:firstLineChars="1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教育支出0.80万元，占比0.09%，较年初预算数减少3.08万元，下降79.38%，主要原因是2024年党员未外出学习。</w:t>
      </w:r>
    </w:p>
    <w:p>
      <w:pPr>
        <w:pStyle w:val="5"/>
        <w:keepNext w:val="0"/>
        <w:keepLines w:val="0"/>
        <w:pageBreakBefore w:val="0"/>
        <w:widowControl/>
        <w:numPr>
          <w:ilvl w:val="0"/>
          <w:numId w:val="6"/>
        </w:numPr>
        <w:suppressLineNumbers w:val="0"/>
        <w:kinsoku/>
        <w:wordWrap/>
        <w:overflowPunct/>
        <w:topLinePunct w:val="0"/>
        <w:autoSpaceDE/>
        <w:autoSpaceDN/>
        <w:bidi w:val="0"/>
        <w:adjustRightInd/>
        <w:snapToGrid/>
        <w:spacing w:before="0" w:beforeAutospacing="0" w:after="0" w:afterAutospacing="0" w:line="579" w:lineRule="exact"/>
        <w:ind w:firstLine="320" w:firstLineChars="1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社会保障和就业支出779.88万元，占比91.05%，较年初预算数减少43.41万元，下降5.27%，主要原因是年中在职职工退休，相关人员经费减少；2024年8月集中供养儿童移送重庆市儿童福利院，相关人员经费减少。</w:t>
      </w:r>
    </w:p>
    <w:p>
      <w:pPr>
        <w:pStyle w:val="5"/>
        <w:keepNext w:val="0"/>
        <w:keepLines w:val="0"/>
        <w:pageBreakBefore w:val="0"/>
        <w:widowControl/>
        <w:numPr>
          <w:ilvl w:val="0"/>
          <w:numId w:val="6"/>
        </w:numPr>
        <w:suppressLineNumbers w:val="0"/>
        <w:kinsoku/>
        <w:wordWrap/>
        <w:overflowPunct/>
        <w:topLinePunct w:val="0"/>
        <w:autoSpaceDE/>
        <w:autoSpaceDN/>
        <w:bidi w:val="0"/>
        <w:adjustRightInd/>
        <w:snapToGrid/>
        <w:spacing w:before="0" w:beforeAutospacing="0" w:after="0" w:afterAutospacing="0" w:line="579" w:lineRule="exact"/>
        <w:ind w:firstLine="320" w:firstLineChars="1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卫生健康支出44.78万元，占比5.23%，较年初预算数减少1.73万元，下降3.72%，主要原因是年中在职职工退休，相关人员经费减少。</w:t>
      </w:r>
    </w:p>
    <w:p>
      <w:pPr>
        <w:pStyle w:val="5"/>
        <w:keepNext w:val="0"/>
        <w:keepLines w:val="0"/>
        <w:pageBreakBefore w:val="0"/>
        <w:widowControl/>
        <w:numPr>
          <w:ilvl w:val="0"/>
          <w:numId w:val="6"/>
        </w:numPr>
        <w:suppressLineNumbers w:val="0"/>
        <w:kinsoku/>
        <w:wordWrap/>
        <w:overflowPunct/>
        <w:topLinePunct w:val="0"/>
        <w:autoSpaceDE/>
        <w:autoSpaceDN/>
        <w:bidi w:val="0"/>
        <w:adjustRightInd/>
        <w:snapToGrid/>
        <w:spacing w:before="0" w:beforeAutospacing="0" w:after="0" w:afterAutospacing="0" w:line="579" w:lineRule="exact"/>
        <w:ind w:firstLine="320" w:firstLineChars="1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住房保障支出31.05万元，占比3.63%，较年初预算数无增减。</w:t>
      </w:r>
    </w:p>
    <w:p>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Style w:val="14"/>
          <w:rFonts w:hint="eastAsia" w:ascii="宋体" w:hAnsi="宋体" w:eastAsia="方正楷体_GBK" w:cs="方正楷体_GBK"/>
          <w:b w:val="0"/>
          <w:bCs/>
          <w:kern w:val="2"/>
          <w:sz w:val="32"/>
          <w:szCs w:val="32"/>
          <w:shd w:val="clear" w:color="auto" w:fill="FFFFFF"/>
          <w:lang w:val="en-US" w:eastAsia="zh-CN" w:bidi="ar-SA"/>
        </w:rPr>
        <w:t>一般公共预算财政拨款基本支出情况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2024年度一般公共预算财政拨款基本支出792.38万元。其中：人员经费751.19万元，主要用于工资福利支出以及对个人和家庭的补助，较上年决算数增加58.73万元，增长8.48%，主要原因是补缴2022-2023年养老保险和职业年金。公用经费41.19万元，主要用于维持单位的基本运行，较上年决算数减少50.54万元，减少55.1%，主要原因是人员公用经费、工会经费减少。</w:t>
      </w:r>
    </w:p>
    <w:p>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（五）政府性基金预算收支决算情况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方正仿宋_GBK" w:hAnsi="方正仿宋_GBK" w:eastAsia="方正仿宋_GBK" w:cs="方正仿宋_GBK"/>
          <w:color w:val="auto"/>
          <w:sz w:val="32"/>
          <w:szCs w:val="32"/>
          <w:shd w:val="clear" w:color="auto" w:fill="FFFFFF"/>
          <w:lang w:eastAsia="zh-CN"/>
        </w:rPr>
      </w:pPr>
      <w:r>
        <w:rPr>
          <w:rFonts w:hint="eastAsia" w:ascii="方正仿宋_GBK" w:hAnsi="方正仿宋_GBK" w:eastAsia="方正仿宋_GBK" w:cs="方正仿宋_GBK"/>
          <w:sz w:val="32"/>
          <w:szCs w:val="32"/>
          <w:shd w:val="clear" w:color="auto" w:fill="FFFFFF"/>
          <w:lang w:eastAsia="zh-CN"/>
        </w:rPr>
        <w:t>2024年</w:t>
      </w:r>
      <w:r>
        <w:rPr>
          <w:rFonts w:ascii="方正仿宋_GBK" w:hAnsi="方正仿宋_GBK" w:eastAsia="方正仿宋_GBK" w:cs="方正仿宋_GBK"/>
          <w:sz w:val="32"/>
          <w:szCs w:val="32"/>
          <w:shd w:val="clear" w:color="auto" w:fill="FFFFFF"/>
        </w:rPr>
        <w:t>度政府性基金预算财政拨款年初结转结余</w:t>
      </w:r>
      <w:r>
        <w:rPr>
          <w:rFonts w:hint="eastAsia" w:ascii="方正仿宋_GBK" w:hAnsi="方正仿宋_GBK" w:eastAsia="方正仿宋_GBK" w:cs="方正仿宋_GBK"/>
          <w:sz w:val="32"/>
          <w:szCs w:val="32"/>
          <w:shd w:val="clear" w:color="auto" w:fill="FFFFFF"/>
          <w:lang w:val="en-US" w:eastAsia="zh-CN"/>
        </w:rPr>
        <w:t>0</w:t>
      </w:r>
      <w:r>
        <w:rPr>
          <w:rFonts w:ascii="方正仿宋_GBK" w:hAnsi="方正仿宋_GBK" w:eastAsia="方正仿宋_GBK" w:cs="方正仿宋_GBK"/>
          <w:sz w:val="32"/>
          <w:szCs w:val="32"/>
          <w:shd w:val="clear" w:color="auto" w:fill="FFFFFF"/>
        </w:rPr>
        <w:t>万元，年末结转结余</w:t>
      </w:r>
      <w:r>
        <w:rPr>
          <w:rFonts w:hint="eastAsia" w:ascii="方正仿宋_GBK" w:hAnsi="方正仿宋_GBK" w:eastAsia="方正仿宋_GBK" w:cs="方正仿宋_GBK"/>
          <w:sz w:val="32"/>
          <w:szCs w:val="32"/>
          <w:shd w:val="clear" w:color="auto" w:fill="FFFFFF"/>
          <w:lang w:val="en-US" w:eastAsia="zh-CN"/>
        </w:rPr>
        <w:t>0</w:t>
      </w:r>
      <w:r>
        <w:rPr>
          <w:rFonts w:ascii="方正仿宋_GBK" w:hAnsi="方正仿宋_GBK" w:eastAsia="方正仿宋_GBK" w:cs="方正仿宋_GBK"/>
          <w:sz w:val="32"/>
          <w:szCs w:val="32"/>
          <w:shd w:val="clear" w:color="auto" w:fill="FFFFFF"/>
        </w:rPr>
        <w:t>万元。本年收入</w:t>
      </w:r>
      <w:r>
        <w:rPr>
          <w:rFonts w:hint="eastAsia" w:ascii="方正仿宋_GBK" w:hAnsi="方正仿宋_GBK" w:eastAsia="方正仿宋_GBK" w:cs="方正仿宋_GBK"/>
          <w:sz w:val="32"/>
          <w:szCs w:val="32"/>
          <w:shd w:val="clear" w:color="auto" w:fill="FFFFFF"/>
          <w:lang w:val="en-US" w:eastAsia="zh-CN"/>
        </w:rPr>
        <w:t>5.41</w:t>
      </w:r>
      <w:r>
        <w:rPr>
          <w:rFonts w:ascii="方正仿宋_GBK" w:hAnsi="方正仿宋_GBK" w:eastAsia="方正仿宋_GBK" w:cs="方正仿宋_GBK"/>
          <w:sz w:val="32"/>
          <w:szCs w:val="32"/>
          <w:shd w:val="clear" w:color="auto" w:fill="FFFFFF"/>
        </w:rPr>
        <w:t>万元，与2023年度相</w:t>
      </w:r>
      <w:r>
        <w:rPr>
          <w:rFonts w:hint="eastAsia" w:ascii="方正仿宋_GBK" w:hAnsi="方正仿宋_GBK" w:eastAsia="方正仿宋_GBK" w:cs="方正仿宋_GBK"/>
          <w:sz w:val="32"/>
          <w:szCs w:val="32"/>
          <w:shd w:val="clear" w:color="auto" w:fill="FFFFFF"/>
          <w:lang w:val="en-US" w:eastAsia="zh-CN"/>
        </w:rPr>
        <w:t>比减少61.65万元</w:t>
      </w:r>
      <w:r>
        <w:rPr>
          <w:rFonts w:ascii="方正仿宋_GBK" w:hAnsi="方正仿宋_GBK" w:eastAsia="方正仿宋_GBK" w:cs="方正仿宋_GBK"/>
          <w:sz w:val="32"/>
          <w:szCs w:val="32"/>
          <w:shd w:val="clear" w:color="auto" w:fill="FFFFFF"/>
        </w:rPr>
        <w:t>，主要原因是</w:t>
      </w:r>
      <w:r>
        <w:rPr>
          <w:rFonts w:hint="eastAsia" w:ascii="宋体" w:hAnsi="宋体" w:eastAsia="方正仿宋_GBK" w:cs="方正仿宋_GBK"/>
          <w:b w:val="0"/>
          <w:bCs w:val="0"/>
          <w:sz w:val="32"/>
          <w:szCs w:val="32"/>
          <w:lang w:val="en-US" w:eastAsia="zh-CN"/>
        </w:rPr>
        <w:t>2024年儿童福利院改造项目正在实施中，尚未完工和完成支付</w:t>
      </w:r>
      <w:r>
        <w:rPr>
          <w:rFonts w:hint="eastAsia" w:ascii="方正仿宋_GBK" w:hAnsi="方正仿宋_GBK" w:eastAsia="方正仿宋_GBK" w:cs="方正仿宋_GBK"/>
          <w:color w:val="auto"/>
          <w:sz w:val="32"/>
          <w:szCs w:val="32"/>
          <w:shd w:val="clear" w:color="auto" w:fill="FFFFFF"/>
          <w:lang w:eastAsia="zh-CN"/>
        </w:rPr>
        <w:t>。</w:t>
      </w:r>
      <w:r>
        <w:rPr>
          <w:rFonts w:ascii="方正仿宋_GBK" w:hAnsi="方正仿宋_GBK" w:eastAsia="方正仿宋_GBK" w:cs="方正仿宋_GBK"/>
          <w:sz w:val="32"/>
          <w:szCs w:val="32"/>
          <w:shd w:val="clear" w:color="auto" w:fill="FFFFFF"/>
        </w:rPr>
        <w:t>本年支出</w:t>
      </w:r>
      <w:r>
        <w:rPr>
          <w:rFonts w:hint="eastAsia" w:ascii="方正仿宋_GBK" w:hAnsi="方正仿宋_GBK" w:eastAsia="方正仿宋_GBK" w:cs="方正仿宋_GBK"/>
          <w:sz w:val="32"/>
          <w:szCs w:val="32"/>
          <w:lang w:val="en-US" w:eastAsia="zh-CN"/>
        </w:rPr>
        <w:t>5.41</w:t>
      </w:r>
      <w:r>
        <w:rPr>
          <w:rFonts w:ascii="方正仿宋_GBK" w:hAnsi="方正仿宋_GBK" w:eastAsia="方正仿宋_GBK" w:cs="方正仿宋_GBK"/>
          <w:sz w:val="32"/>
          <w:szCs w:val="32"/>
          <w:shd w:val="clear" w:color="auto" w:fill="FFFFFF"/>
        </w:rPr>
        <w:t>万元，与2023年度相比</w:t>
      </w:r>
      <w:r>
        <w:rPr>
          <w:rFonts w:hint="eastAsia" w:ascii="方正仿宋_GBK" w:hAnsi="方正仿宋_GBK" w:eastAsia="方正仿宋_GBK" w:cs="方正仿宋_GBK"/>
          <w:sz w:val="32"/>
          <w:szCs w:val="32"/>
          <w:shd w:val="clear" w:color="auto" w:fill="FFFFFF"/>
          <w:lang w:val="en-US" w:eastAsia="zh-CN"/>
        </w:rPr>
        <w:t>减少61.65万元</w:t>
      </w:r>
      <w:r>
        <w:rPr>
          <w:rFonts w:ascii="方正仿宋_GBK" w:hAnsi="方正仿宋_GBK" w:eastAsia="方正仿宋_GBK" w:cs="方正仿宋_GBK"/>
          <w:sz w:val="32"/>
          <w:szCs w:val="32"/>
          <w:shd w:val="clear" w:color="auto" w:fill="FFFFFF"/>
        </w:rPr>
        <w:t>，主要原因是</w:t>
      </w:r>
      <w:r>
        <w:rPr>
          <w:rFonts w:hint="eastAsia" w:ascii="宋体" w:hAnsi="宋体" w:eastAsia="方正仿宋_GBK" w:cs="方正仿宋_GBK"/>
          <w:b w:val="0"/>
          <w:bCs w:val="0"/>
          <w:sz w:val="32"/>
          <w:szCs w:val="32"/>
          <w:lang w:val="en-US" w:eastAsia="zh-CN"/>
        </w:rPr>
        <w:t>2024年儿童福利院改造项目正在实施中，尚未完工和完成支付</w:t>
      </w:r>
      <w:r>
        <w:rPr>
          <w:rFonts w:ascii="方正仿宋_GBK" w:hAnsi="方正仿宋_GBK" w:eastAsia="方正仿宋_GBK" w:cs="方正仿宋_GBK"/>
          <w:color w:val="auto"/>
          <w:sz w:val="32"/>
          <w:szCs w:val="32"/>
          <w:shd w:val="clear" w:color="auto" w:fill="FFFFFF"/>
        </w:rPr>
        <w:t>。</w:t>
      </w:r>
    </w:p>
    <w:p>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（六）国有资本经营预算财政拨款支出决算情况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ascii="方正仿宋_GBK" w:hAnsi="方正仿宋_GBK" w:eastAsia="方正仿宋_GBK" w:cs="方正仿宋_GBK"/>
          <w:color w:val="auto"/>
          <w:sz w:val="32"/>
          <w:szCs w:val="32"/>
          <w:shd w:val="clear" w:color="auto" w:fill="FFFFFF"/>
        </w:rPr>
        <w:t>本单位</w:t>
      </w:r>
      <w:r>
        <w:rPr>
          <w:rFonts w:hint="eastAsia" w:ascii="方正仿宋_GBK" w:hAnsi="方正仿宋_GBK" w:eastAsia="方正仿宋_GBK" w:cs="方正仿宋_GBK"/>
          <w:color w:val="auto"/>
          <w:sz w:val="32"/>
          <w:szCs w:val="32"/>
          <w:shd w:val="clear" w:color="auto" w:fill="FFFFFF"/>
          <w:lang w:eastAsia="zh-CN"/>
        </w:rPr>
        <w:t>2024年</w:t>
      </w:r>
      <w:r>
        <w:rPr>
          <w:rFonts w:ascii="方正仿宋_GBK" w:hAnsi="方正仿宋_GBK" w:eastAsia="方正仿宋_GBK" w:cs="方正仿宋_GBK"/>
          <w:color w:val="auto"/>
          <w:sz w:val="32"/>
          <w:szCs w:val="32"/>
          <w:shd w:val="clear" w:color="auto" w:fill="FFFFFF"/>
        </w:rPr>
        <w:t>度无国有资本经营预算财政拨款支出。</w:t>
      </w:r>
    </w:p>
    <w:p>
      <w:pPr>
        <w:pStyle w:val="10"/>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579" w:lineRule="exact"/>
        <w:ind w:right="0" w:rightChars="0" w:firstLine="640" w:firstLineChars="200"/>
        <w:jc w:val="left"/>
        <w:textAlignment w:val="auto"/>
        <w:outlineLvl w:val="0"/>
        <w:rPr>
          <w:rStyle w:val="14"/>
          <w:rFonts w:hint="eastAsia" w:ascii="宋体" w:hAnsi="宋体" w:eastAsia="方正黑体_GBK" w:cs="方正黑体_GBK"/>
          <w:b w:val="0"/>
          <w:sz w:val="32"/>
          <w:szCs w:val="32"/>
          <w:shd w:val="clear" w:color="auto" w:fill="FFFFFF"/>
        </w:rPr>
      </w:pPr>
      <w:r>
        <w:rPr>
          <w:rStyle w:val="14"/>
          <w:rFonts w:hint="eastAsia" w:ascii="宋体" w:hAnsi="宋体" w:eastAsia="方正黑体_GBK" w:cs="方正黑体_GBK"/>
          <w:b w:val="0"/>
          <w:sz w:val="32"/>
          <w:szCs w:val="32"/>
          <w:shd w:val="clear" w:color="auto" w:fill="FFFFFF"/>
          <w:lang w:val="en-US" w:eastAsia="zh-CN"/>
        </w:rPr>
        <w:t>三、</w:t>
      </w:r>
      <w:r>
        <w:rPr>
          <w:rStyle w:val="14"/>
          <w:rFonts w:hint="eastAsia" w:ascii="宋体" w:hAnsi="宋体" w:eastAsia="方正黑体_GBK" w:cs="方正黑体_GBK"/>
          <w:b w:val="0"/>
          <w:sz w:val="32"/>
          <w:szCs w:val="32"/>
          <w:shd w:val="clear" w:color="auto" w:fill="FFFFFF"/>
        </w:rPr>
        <w:t>“三公”经费情况</w:t>
      </w:r>
    </w:p>
    <w:p>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（一）“三公”经费支出总体情况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2024年度“三公”经费支出共计2.6万元，较年初预算数减少3.9万元，下降60%，主要原因是严控三公经费支出，公务用车运行维护费减少。较上年支出数减少0.5万元，减少16.13%，主要原因是公务用车车况较好，公务用车运行维护费减少。</w:t>
      </w:r>
    </w:p>
    <w:p>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（二）“三公”经费分项支出情况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default"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因公出国（境）费用0万元，费用支出较年初预算数无增减变动，较上年支出数无增减变动。</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公务车购置费用0万元，费用支出较年初预算数无增减变动，较上年支出数无增减变动。</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公务车运行维护费2.33万元，主要用于机要文件交换、市内因公出行、接送服务对象等工作所需车辆的燃料费、维修维护费、过路费、保险费等。费用支出较年初预算数减少3.67万元，较上年支出数减少0.71万元，下降23.36%，主要原因是公务用车车况较好。</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公务接待费0.26万元，主要用于上级部门对我院工作进行指导培训。费用支出较年初预算数减少0.24万元，较上年支出数增加0.2万元，增长333.33%，主要原因是集中供养孤残儿童移送期间，接待儿童福利院工作人员对我院儿童进行调研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Fonts w:hint="eastAsia" w:ascii="宋体" w:hAnsi="宋体" w:eastAsia="方正楷体_GBK" w:cs="方正楷体_GBK"/>
        </w:rPr>
      </w:pPr>
      <w:r>
        <w:rPr>
          <w:rStyle w:val="14"/>
          <w:rFonts w:hint="eastAsia" w:ascii="宋体" w:hAnsi="宋体" w:eastAsia="方正楷体_GBK" w:cs="方正楷体_GBK"/>
          <w:b w:val="0"/>
          <w:bCs/>
          <w:kern w:val="2"/>
          <w:sz w:val="32"/>
          <w:szCs w:val="32"/>
          <w:shd w:val="clear" w:color="auto" w:fill="FFFFFF"/>
          <w:lang w:val="en-US" w:eastAsia="zh-CN" w:bidi="ar-SA"/>
        </w:rPr>
        <w:t>（三）“三公”经费实物量情况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2024年度本单位因公出国（境）共计0个团组，0人；公务用车购置0辆，公务车保有量为2辆；国内公务接待3批次30人，其中：国内外事接待0批次，0人；国（境）外公务接待0批次，0人。人均接待费86.67元，车均购置费0万元，车均维护费1.17万元。</w:t>
      </w:r>
    </w:p>
    <w:p>
      <w:pPr>
        <w:pStyle w:val="10"/>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579" w:lineRule="exact"/>
        <w:ind w:right="0" w:rightChars="0" w:firstLine="640" w:firstLineChars="200"/>
        <w:jc w:val="left"/>
        <w:textAlignment w:val="auto"/>
        <w:outlineLvl w:val="0"/>
        <w:rPr>
          <w:rStyle w:val="14"/>
          <w:rFonts w:hint="eastAsia" w:ascii="宋体" w:hAnsi="宋体" w:eastAsia="方正黑体_GBK" w:cs="方正黑体_GBK"/>
          <w:b w:val="0"/>
          <w:sz w:val="32"/>
          <w:szCs w:val="32"/>
          <w:shd w:val="clear" w:color="auto" w:fill="FFFFFF"/>
        </w:rPr>
      </w:pPr>
      <w:r>
        <w:rPr>
          <w:rStyle w:val="14"/>
          <w:rFonts w:hint="eastAsia" w:ascii="宋体" w:hAnsi="宋体" w:eastAsia="方正黑体_GBK" w:cs="方正黑体_GBK"/>
          <w:b w:val="0"/>
          <w:sz w:val="32"/>
          <w:szCs w:val="32"/>
          <w:shd w:val="clear" w:color="auto" w:fill="FFFFFF"/>
          <w:lang w:val="en-US" w:eastAsia="zh-CN"/>
        </w:rPr>
        <w:t>四、</w:t>
      </w:r>
      <w:r>
        <w:rPr>
          <w:rStyle w:val="14"/>
          <w:rFonts w:hint="eastAsia" w:ascii="宋体" w:hAnsi="宋体" w:eastAsia="方正黑体_GBK" w:cs="方正黑体_GBK"/>
          <w:b w:val="0"/>
          <w:sz w:val="32"/>
          <w:szCs w:val="32"/>
          <w:shd w:val="clear" w:color="auto" w:fill="FFFFFF"/>
        </w:rPr>
        <w:t>其他需要说明的事项</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4"/>
          <w:rFonts w:hint="default"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（一）财政拨款会议费和培训费情况</w:t>
      </w:r>
    </w:p>
    <w:p>
      <w:pPr>
        <w:pStyle w:val="5"/>
        <w:keepNext w:val="0"/>
        <w:keepLines w:val="0"/>
        <w:pageBreakBefore w:val="0"/>
        <w:kinsoku/>
        <w:wordWrap/>
        <w:overflowPunct/>
        <w:topLinePunct w:val="0"/>
        <w:autoSpaceDN/>
        <w:bidi w:val="0"/>
        <w:snapToGrid w:val="0"/>
        <w:spacing w:before="0" w:beforeAutospacing="0" w:after="0" w:afterAutospacing="0" w:line="579" w:lineRule="exact"/>
        <w:ind w:firstLine="640" w:firstLineChars="200"/>
        <w:jc w:val="both"/>
        <w:textAlignment w:val="auto"/>
        <w:rPr>
          <w:rFonts w:hint="eastAsia" w:ascii="方正仿宋_GBK" w:hAnsi="方正仿宋_GBK" w:eastAsia="方正仿宋_GBK" w:cs="方正仿宋_GBK"/>
          <w:color w:val="FF0000"/>
          <w:sz w:val="32"/>
          <w:szCs w:val="32"/>
          <w:lang w:val="en-US" w:eastAsia="zh-CN"/>
        </w:rPr>
      </w:pPr>
      <w:r>
        <w:rPr>
          <w:rFonts w:hint="eastAsia" w:ascii="方正仿宋_GBK" w:hAnsi="方正仿宋_GBK" w:eastAsia="方正仿宋_GBK" w:cs="方正仿宋_GBK"/>
          <w:sz w:val="32"/>
          <w:szCs w:val="32"/>
          <w:shd w:val="clear" w:color="auto" w:fill="FFFFFF"/>
          <w:lang w:val="en-US" w:eastAsia="zh-CN"/>
        </w:rPr>
        <w:t>2024</w:t>
      </w:r>
      <w:r>
        <w:rPr>
          <w:rFonts w:ascii="方正仿宋_GBK" w:hAnsi="方正仿宋_GBK" w:eastAsia="方正仿宋_GBK" w:cs="方正仿宋_GBK"/>
          <w:sz w:val="32"/>
          <w:szCs w:val="32"/>
          <w:shd w:val="clear" w:color="auto" w:fill="FFFFFF"/>
        </w:rPr>
        <w:t>年度会议费支出</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万元，与2023年度相比</w:t>
      </w:r>
      <w:r>
        <w:rPr>
          <w:rFonts w:hint="eastAsia" w:ascii="方正仿宋_GBK" w:hAnsi="方正仿宋_GBK" w:eastAsia="方正仿宋_GBK" w:cs="方正仿宋_GBK"/>
          <w:sz w:val="32"/>
          <w:szCs w:val="32"/>
          <w:shd w:val="clear" w:color="auto" w:fill="FFFFFF"/>
          <w:lang w:val="en-US" w:eastAsia="zh-CN"/>
        </w:rPr>
        <w:t>无增减变动</w:t>
      </w:r>
      <w:r>
        <w:rPr>
          <w:rFonts w:ascii="方正仿宋_GBK" w:hAnsi="方正仿宋_GBK" w:eastAsia="方正仿宋_GBK" w:cs="方正仿宋_GBK"/>
          <w:sz w:val="32"/>
          <w:szCs w:val="32"/>
          <w:shd w:val="clear" w:color="auto" w:fill="FFFFFF"/>
        </w:rPr>
        <w:t>。本年度培训费支出</w:t>
      </w:r>
      <w:r>
        <w:rPr>
          <w:rFonts w:hint="eastAsia" w:ascii="方正仿宋_GBK" w:hAnsi="方正仿宋_GBK" w:eastAsia="方正仿宋_GBK" w:cs="方正仿宋_GBK"/>
          <w:sz w:val="32"/>
          <w:szCs w:val="32"/>
          <w:shd w:val="clear" w:color="auto" w:fill="FFFFFF"/>
          <w:lang w:val="en-US" w:eastAsia="zh-CN"/>
        </w:rPr>
        <w:t>0.8</w:t>
      </w:r>
      <w:r>
        <w:rPr>
          <w:rFonts w:ascii="方正仿宋_GBK" w:hAnsi="方正仿宋_GBK" w:eastAsia="方正仿宋_GBK" w:cs="方正仿宋_GBK"/>
          <w:sz w:val="32"/>
          <w:szCs w:val="32"/>
          <w:shd w:val="clear" w:color="auto" w:fill="FFFFFF"/>
        </w:rPr>
        <w:t>万元，与2023年度相比，</w:t>
      </w:r>
      <w:r>
        <w:rPr>
          <w:rFonts w:hint="eastAsia" w:ascii="方正仿宋_GBK" w:hAnsi="方正仿宋_GBK" w:eastAsia="方正仿宋_GBK" w:cs="方正仿宋_GBK"/>
          <w:sz w:val="32"/>
          <w:szCs w:val="32"/>
          <w:shd w:val="clear" w:color="auto" w:fill="FFFFFF"/>
          <w:lang w:val="en-US" w:eastAsia="zh-CN"/>
        </w:rPr>
        <w:t>减少2.86</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val="en-US" w:eastAsia="zh-CN"/>
        </w:rPr>
        <w:t>下降78.14</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sz w:val="32"/>
          <w:szCs w:val="32"/>
          <w:shd w:val="clear" w:color="auto" w:fill="FFFFFF"/>
          <w:lang w:val="en-US" w:eastAsia="zh-CN"/>
        </w:rPr>
        <w:t>2024年党员未外出学习</w:t>
      </w:r>
      <w:r>
        <w:rPr>
          <w:rFonts w:ascii="方正仿宋_GBK" w:hAnsi="方正仿宋_GBK" w:eastAsia="方正仿宋_GBK" w:cs="方正仿宋_GBK"/>
          <w:sz w:val="32"/>
          <w:szCs w:val="32"/>
          <w:shd w:val="clear" w:color="auto" w:fill="FFFFFF"/>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4"/>
          <w:rFonts w:hint="default"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（二）机关运行经费情况</w:t>
      </w:r>
    </w:p>
    <w:p>
      <w:pPr>
        <w:keepNext w:val="0"/>
        <w:keepLines w:val="0"/>
        <w:pageBreakBefore w:val="0"/>
        <w:kinsoku/>
        <w:wordWrap/>
        <w:overflowPunct/>
        <w:topLinePunct w:val="0"/>
        <w:autoSpaceDN/>
        <w:bidi w:val="0"/>
        <w:snapToGrid/>
        <w:spacing w:line="579" w:lineRule="exact"/>
        <w:ind w:firstLine="480" w:firstLineChars="150"/>
        <w:textAlignment w:val="auto"/>
        <w:rPr>
          <w:rFonts w:hint="eastAsia" w:ascii="宋体" w:hAnsi="宋体" w:eastAsia="方正仿宋_GBK" w:cs="方正仿宋_GBK"/>
          <w:color w:val="auto"/>
          <w:kern w:val="0"/>
          <w:sz w:val="32"/>
          <w:szCs w:val="32"/>
          <w:lang w:val="en-US" w:eastAsia="zh-CN"/>
        </w:rPr>
      </w:pPr>
      <w:r>
        <w:rPr>
          <w:rFonts w:hint="eastAsia" w:ascii="宋体" w:hAnsi="宋体" w:eastAsia="方正仿宋_GBK" w:cs="方正仿宋_GBK"/>
          <w:color w:val="auto"/>
          <w:kern w:val="0"/>
          <w:sz w:val="32"/>
          <w:szCs w:val="32"/>
        </w:rPr>
        <w:t>按照部门决算列报口径，我单位不在机关运行经费统计范围之内</w:t>
      </w:r>
      <w:r>
        <w:rPr>
          <w:rFonts w:hint="eastAsia" w:ascii="宋体" w:hAnsi="宋体" w:eastAsia="方正仿宋_GBK" w:cs="方正仿宋_GBK"/>
          <w:color w:val="auto"/>
          <w:kern w:val="0"/>
          <w:sz w:val="32"/>
          <w:szCs w:val="32"/>
          <w:lang w:eastAsia="zh-CN"/>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（三）国有资产占用情况说明</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kern w:val="0"/>
          <w:sz w:val="32"/>
          <w:szCs w:val="32"/>
          <w:lang w:val="en-US" w:eastAsia="zh-CN"/>
        </w:rPr>
      </w:pPr>
      <w:r>
        <w:rPr>
          <w:rFonts w:hint="eastAsia" w:ascii="宋体" w:hAnsi="宋体" w:eastAsia="方正仿宋_GBK" w:cs="方正仿宋_GBK"/>
          <w:kern w:val="0"/>
          <w:sz w:val="32"/>
          <w:szCs w:val="32"/>
        </w:rPr>
        <w:t>截至202</w:t>
      </w:r>
      <w:r>
        <w:rPr>
          <w:rFonts w:hint="eastAsia" w:ascii="宋体" w:hAnsi="宋体" w:eastAsia="方正仿宋_GBK" w:cs="方正仿宋_GBK"/>
          <w:kern w:val="0"/>
          <w:sz w:val="32"/>
          <w:szCs w:val="32"/>
          <w:lang w:val="en-US" w:eastAsia="zh-CN"/>
        </w:rPr>
        <w:t>4</w:t>
      </w:r>
      <w:r>
        <w:rPr>
          <w:rFonts w:hint="eastAsia" w:ascii="宋体" w:hAnsi="宋体" w:eastAsia="方正仿宋_GBK" w:cs="方正仿宋_GBK"/>
          <w:kern w:val="0"/>
          <w:sz w:val="32"/>
          <w:szCs w:val="32"/>
        </w:rPr>
        <w:t>年12月31日，本</w:t>
      </w:r>
      <w:r>
        <w:rPr>
          <w:rFonts w:hint="eastAsia" w:ascii="宋体" w:hAnsi="宋体" w:eastAsia="方正仿宋_GBK" w:cs="方正仿宋_GBK"/>
          <w:kern w:val="0"/>
          <w:sz w:val="32"/>
          <w:szCs w:val="32"/>
          <w:lang w:val="en-US" w:eastAsia="zh-CN"/>
        </w:rPr>
        <w:t>单位</w:t>
      </w:r>
      <w:r>
        <w:rPr>
          <w:rFonts w:hint="eastAsia" w:ascii="宋体" w:hAnsi="宋体" w:eastAsia="方正仿宋_GBK" w:cs="方正仿宋_GBK"/>
          <w:kern w:val="0"/>
          <w:sz w:val="32"/>
          <w:szCs w:val="32"/>
        </w:rPr>
        <w:t>共有车辆</w:t>
      </w:r>
      <w:r>
        <w:rPr>
          <w:rFonts w:hint="eastAsia" w:ascii="宋体" w:hAnsi="宋体" w:eastAsia="方正仿宋_GBK" w:cs="方正仿宋_GBK"/>
          <w:kern w:val="0"/>
          <w:sz w:val="32"/>
          <w:szCs w:val="32"/>
          <w:lang w:val="en-US" w:eastAsia="zh-CN"/>
        </w:rPr>
        <w:t>2</w:t>
      </w:r>
      <w:r>
        <w:rPr>
          <w:rFonts w:hint="eastAsia" w:ascii="宋体" w:hAnsi="宋体" w:eastAsia="方正仿宋_GBK" w:cs="方正仿宋_GBK"/>
          <w:kern w:val="0"/>
          <w:sz w:val="32"/>
          <w:szCs w:val="32"/>
        </w:rPr>
        <w:t>辆。其中：副部（省）级及以上领导用车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辆，主要</w:t>
      </w:r>
      <w:r>
        <w:rPr>
          <w:rFonts w:hint="eastAsia" w:ascii="宋体" w:hAnsi="宋体" w:eastAsia="方正仿宋_GBK" w:cs="方正仿宋_GBK"/>
          <w:kern w:val="0"/>
          <w:sz w:val="32"/>
          <w:szCs w:val="32"/>
          <w:lang w:val="en-US" w:eastAsia="zh-CN"/>
        </w:rPr>
        <w:t>负责人</w:t>
      </w:r>
      <w:r>
        <w:rPr>
          <w:rFonts w:hint="eastAsia" w:ascii="宋体" w:hAnsi="宋体" w:eastAsia="方正仿宋_GBK" w:cs="方正仿宋_GBK"/>
          <w:kern w:val="0"/>
          <w:sz w:val="32"/>
          <w:szCs w:val="32"/>
        </w:rPr>
        <w:t>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辆，机要通信用车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辆，应急保障用车</w:t>
      </w:r>
      <w:r>
        <w:rPr>
          <w:rFonts w:hint="eastAsia" w:ascii="宋体" w:hAnsi="宋体" w:eastAsia="方正仿宋_GBK" w:cs="方正仿宋_GBK"/>
          <w:kern w:val="0"/>
          <w:sz w:val="32"/>
          <w:szCs w:val="32"/>
          <w:lang w:val="en-US" w:eastAsia="zh-CN"/>
        </w:rPr>
        <w:t>2</w:t>
      </w:r>
      <w:r>
        <w:rPr>
          <w:rFonts w:hint="eastAsia" w:ascii="宋体" w:hAnsi="宋体" w:eastAsia="方正仿宋_GBK" w:cs="方正仿宋_GBK"/>
          <w:kern w:val="0"/>
          <w:sz w:val="32"/>
          <w:szCs w:val="32"/>
        </w:rPr>
        <w:t>辆，执法执勤用车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辆，特种专业技术用车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辆，离退休干部</w:t>
      </w:r>
      <w:r>
        <w:rPr>
          <w:rFonts w:hint="eastAsia" w:ascii="宋体" w:hAnsi="宋体" w:eastAsia="方正仿宋_GBK" w:cs="方正仿宋_GBK"/>
          <w:kern w:val="0"/>
          <w:sz w:val="32"/>
          <w:szCs w:val="32"/>
          <w:lang w:val="en-US" w:eastAsia="zh-CN"/>
        </w:rPr>
        <w:t>服务</w:t>
      </w:r>
      <w:r>
        <w:rPr>
          <w:rFonts w:hint="eastAsia" w:ascii="宋体" w:hAnsi="宋体" w:eastAsia="方正仿宋_GBK" w:cs="方正仿宋_GBK"/>
          <w:kern w:val="0"/>
          <w:sz w:val="32"/>
          <w:szCs w:val="32"/>
        </w:rPr>
        <w:t>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辆，其他用车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辆。单价100万元（含）以上设备</w:t>
      </w:r>
      <w:r>
        <w:rPr>
          <w:rFonts w:hint="eastAsia" w:ascii="宋体" w:hAnsi="宋体" w:eastAsia="方正仿宋_GBK" w:cs="方正仿宋_GBK"/>
          <w:kern w:val="0"/>
          <w:sz w:val="32"/>
          <w:szCs w:val="32"/>
          <w:lang w:eastAsia="zh-CN"/>
        </w:rPr>
        <w:t>（</w:t>
      </w:r>
      <w:r>
        <w:rPr>
          <w:rFonts w:hint="eastAsia" w:ascii="宋体" w:hAnsi="宋体" w:eastAsia="方正仿宋_GBK" w:cs="方正仿宋_GBK"/>
          <w:kern w:val="0"/>
          <w:sz w:val="32"/>
          <w:szCs w:val="32"/>
          <w:lang w:val="en-US" w:eastAsia="zh-CN"/>
        </w:rPr>
        <w:t>不含车辆</w:t>
      </w:r>
      <w:r>
        <w:rPr>
          <w:rFonts w:hint="eastAsia" w:ascii="宋体" w:hAnsi="宋体" w:eastAsia="方正仿宋_GBK" w:cs="方正仿宋_GBK"/>
          <w:kern w:val="0"/>
          <w:sz w:val="32"/>
          <w:szCs w:val="32"/>
          <w:lang w:eastAsia="zh-CN"/>
        </w:rPr>
        <w:t>）</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台（套）。</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（四）政府采购支出说明</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kern w:val="0"/>
          <w:sz w:val="32"/>
          <w:szCs w:val="32"/>
        </w:rPr>
        <w:t>202</w:t>
      </w:r>
      <w:r>
        <w:rPr>
          <w:rFonts w:hint="eastAsia" w:ascii="宋体" w:hAnsi="宋体" w:eastAsia="方正仿宋_GBK" w:cs="方正仿宋_GBK"/>
          <w:kern w:val="0"/>
          <w:sz w:val="32"/>
          <w:szCs w:val="32"/>
          <w:lang w:val="en-US" w:eastAsia="zh-CN"/>
        </w:rPr>
        <w:t>4</w:t>
      </w:r>
      <w:r>
        <w:rPr>
          <w:rFonts w:hint="eastAsia" w:ascii="宋体" w:hAnsi="宋体" w:eastAsia="方正仿宋_GBK" w:cs="方正仿宋_GBK"/>
          <w:kern w:val="0"/>
          <w:sz w:val="32"/>
          <w:szCs w:val="32"/>
        </w:rPr>
        <w:t>年度本</w:t>
      </w:r>
      <w:r>
        <w:rPr>
          <w:rFonts w:hint="eastAsia" w:ascii="宋体" w:hAnsi="宋体" w:eastAsia="方正仿宋_GBK" w:cs="方正仿宋_GBK"/>
          <w:kern w:val="0"/>
          <w:sz w:val="32"/>
          <w:szCs w:val="32"/>
          <w:lang w:val="en-US" w:eastAsia="zh-CN"/>
        </w:rPr>
        <w:t>单位</w:t>
      </w:r>
      <w:bookmarkStart w:id="0" w:name="_GoBack"/>
      <w:bookmarkEnd w:id="0"/>
      <w:r>
        <w:rPr>
          <w:rFonts w:hint="eastAsia" w:ascii="宋体" w:hAnsi="宋体" w:eastAsia="方正仿宋_GBK" w:cs="方正仿宋_GBK"/>
          <w:kern w:val="0"/>
          <w:sz w:val="32"/>
          <w:szCs w:val="32"/>
        </w:rPr>
        <w:t>政府采购支出总额</w:t>
      </w:r>
      <w:r>
        <w:rPr>
          <w:rFonts w:hint="eastAsia" w:ascii="宋体" w:hAnsi="宋体" w:eastAsia="方正仿宋_GBK" w:cs="方正仿宋_GBK"/>
          <w:kern w:val="0"/>
          <w:sz w:val="32"/>
          <w:szCs w:val="32"/>
          <w:lang w:val="en-US" w:eastAsia="zh-CN"/>
        </w:rPr>
        <w:t>5.54</w:t>
      </w:r>
      <w:r>
        <w:rPr>
          <w:rFonts w:hint="eastAsia" w:ascii="宋体" w:hAnsi="宋体" w:eastAsia="方正仿宋_GBK" w:cs="方正仿宋_GBK"/>
          <w:kern w:val="0"/>
          <w:sz w:val="32"/>
          <w:szCs w:val="32"/>
        </w:rPr>
        <w:t>万元，其中：政府采购货物支出</w:t>
      </w:r>
      <w:r>
        <w:rPr>
          <w:rFonts w:hint="eastAsia" w:ascii="宋体" w:hAnsi="宋体" w:eastAsia="方正仿宋_GBK" w:cs="方正仿宋_GBK"/>
          <w:kern w:val="0"/>
          <w:sz w:val="32"/>
          <w:szCs w:val="32"/>
          <w:lang w:val="en-US" w:eastAsia="zh-CN"/>
        </w:rPr>
        <w:t>5.54</w:t>
      </w:r>
      <w:r>
        <w:rPr>
          <w:rFonts w:hint="eastAsia" w:ascii="宋体" w:hAnsi="宋体" w:eastAsia="方正仿宋_GBK" w:cs="方正仿宋_GBK"/>
          <w:kern w:val="0"/>
          <w:sz w:val="32"/>
          <w:szCs w:val="32"/>
        </w:rPr>
        <w:t>万元、政府采购工程支出</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万元、政府采购服务支出</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万元。授予中小企业合同金额</w:t>
      </w:r>
      <w:r>
        <w:rPr>
          <w:rFonts w:hint="eastAsia" w:ascii="宋体" w:hAnsi="宋体" w:eastAsia="方正仿宋_GBK" w:cs="方正仿宋_GBK"/>
          <w:kern w:val="0"/>
          <w:sz w:val="32"/>
          <w:szCs w:val="32"/>
          <w:lang w:val="en-US" w:eastAsia="zh-CN"/>
        </w:rPr>
        <w:t>5.54</w:t>
      </w:r>
      <w:r>
        <w:rPr>
          <w:rFonts w:hint="eastAsia" w:ascii="宋体" w:hAnsi="宋体" w:eastAsia="方正仿宋_GBK" w:cs="方正仿宋_GBK"/>
          <w:kern w:val="0"/>
          <w:sz w:val="32"/>
          <w:szCs w:val="32"/>
        </w:rPr>
        <w:t>万元，占政府采购支出总额的</w:t>
      </w:r>
      <w:r>
        <w:rPr>
          <w:rFonts w:hint="eastAsia" w:ascii="宋体" w:hAnsi="宋体" w:eastAsia="方正仿宋_GBK" w:cs="方正仿宋_GBK"/>
          <w:kern w:val="0"/>
          <w:sz w:val="32"/>
          <w:szCs w:val="32"/>
          <w:lang w:val="en-US" w:eastAsia="zh-CN"/>
        </w:rPr>
        <w:t>100</w:t>
      </w:r>
      <w:r>
        <w:rPr>
          <w:rFonts w:hint="eastAsia" w:ascii="宋体" w:hAnsi="宋体" w:eastAsia="方正仿宋_GBK" w:cs="方正仿宋_GBK"/>
          <w:kern w:val="0"/>
          <w:sz w:val="32"/>
          <w:szCs w:val="32"/>
        </w:rPr>
        <w:t>%，其中：授予小微企业合同金额</w:t>
      </w:r>
      <w:r>
        <w:rPr>
          <w:rFonts w:hint="eastAsia" w:ascii="宋体" w:hAnsi="宋体" w:eastAsia="方正仿宋_GBK" w:cs="方正仿宋_GBK"/>
          <w:kern w:val="0"/>
          <w:sz w:val="32"/>
          <w:szCs w:val="32"/>
          <w:lang w:val="en-US" w:eastAsia="zh-CN"/>
        </w:rPr>
        <w:t>5.54</w:t>
      </w:r>
      <w:r>
        <w:rPr>
          <w:rFonts w:hint="eastAsia" w:ascii="宋体" w:hAnsi="宋体" w:eastAsia="方正仿宋_GBK" w:cs="方正仿宋_GBK"/>
          <w:kern w:val="0"/>
          <w:sz w:val="32"/>
          <w:szCs w:val="32"/>
        </w:rPr>
        <w:t>万元，占政府采购支出总额的</w:t>
      </w:r>
      <w:r>
        <w:rPr>
          <w:rFonts w:hint="eastAsia" w:ascii="宋体" w:hAnsi="宋体" w:eastAsia="方正仿宋_GBK" w:cs="方正仿宋_GBK"/>
          <w:kern w:val="0"/>
          <w:sz w:val="32"/>
          <w:szCs w:val="32"/>
          <w:lang w:val="en-US" w:eastAsia="zh-CN"/>
        </w:rPr>
        <w:t>100</w:t>
      </w:r>
      <w:r>
        <w:rPr>
          <w:rFonts w:hint="eastAsia" w:ascii="宋体" w:hAnsi="宋体" w:eastAsia="方正仿宋_GBK" w:cs="方正仿宋_GBK"/>
          <w:kern w:val="0"/>
          <w:sz w:val="32"/>
          <w:szCs w:val="32"/>
        </w:rPr>
        <w:t>%。</w:t>
      </w:r>
      <w:r>
        <w:rPr>
          <w:rFonts w:hint="eastAsia" w:ascii="宋体" w:hAnsi="宋体" w:eastAsia="方正仿宋_GBK" w:cs="方正仿宋_GBK"/>
          <w:color w:val="auto"/>
          <w:sz w:val="32"/>
          <w:lang w:val="en-US" w:eastAsia="zh-CN"/>
        </w:rPr>
        <w:t>主要用于采购办公用品和家电。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left"/>
        <w:textAlignment w:val="auto"/>
        <w:outlineLvl w:val="0"/>
        <w:rPr>
          <w:rFonts w:hint="eastAsia" w:ascii="宋体" w:hAnsi="宋体" w:eastAsia="方正黑体_GBK" w:cs="方正黑体_GBK"/>
          <w:b w:val="0"/>
          <w:bCs/>
          <w:sz w:val="32"/>
          <w:szCs w:val="32"/>
          <w:lang w:eastAsia="zh-CN"/>
        </w:rPr>
      </w:pPr>
      <w:r>
        <w:rPr>
          <w:rStyle w:val="8"/>
          <w:rFonts w:hint="eastAsia" w:ascii="宋体" w:hAnsi="宋体" w:eastAsia="方正黑体_GBK" w:cs="方正黑体_GBK"/>
          <w:b w:val="0"/>
          <w:bCs/>
          <w:sz w:val="32"/>
          <w:szCs w:val="32"/>
          <w:shd w:val="clear" w:color="auto" w:fill="FFFFFF"/>
        </w:rPr>
        <w:t>五、预算绩效管理情况</w:t>
      </w:r>
    </w:p>
    <w:p>
      <w:pPr>
        <w:pStyle w:val="5"/>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0" w:firstLineChars="200"/>
        <w:jc w:val="left"/>
        <w:textAlignment w:val="auto"/>
        <w:outlineLvl w:val="1"/>
        <w:rPr>
          <w:rFonts w:hint="eastAsia" w:ascii="宋体" w:hAnsi="宋体" w:eastAsia="方正楷体_GBK" w:cs="方正楷体_GBK"/>
        </w:rPr>
      </w:pPr>
      <w:r>
        <w:rPr>
          <w:rStyle w:val="14"/>
          <w:rFonts w:hint="eastAsia" w:ascii="宋体" w:hAnsi="宋体" w:eastAsia="方正楷体_GBK" w:cs="方正楷体_GBK"/>
          <w:b w:val="0"/>
          <w:bCs/>
          <w:kern w:val="2"/>
          <w:sz w:val="32"/>
          <w:szCs w:val="32"/>
          <w:shd w:val="clear" w:color="auto" w:fill="FFFFFF"/>
          <w:lang w:val="en-US" w:eastAsia="zh-CN" w:bidi="ar-SA"/>
        </w:rPr>
        <w:t>（一）预算绩效管理工作开展情况</w:t>
      </w:r>
    </w:p>
    <w:p>
      <w:pPr>
        <w:pStyle w:val="5"/>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0" w:firstLineChars="200"/>
        <w:jc w:val="left"/>
        <w:textAlignment w:val="auto"/>
        <w:rPr>
          <w:rFonts w:hint="eastAsia" w:ascii="宋体" w:hAnsi="宋体" w:eastAsia="方正仿宋_GBK" w:cs="方正仿宋_GBK"/>
          <w:lang w:eastAsia="zh-CN"/>
        </w:rPr>
      </w:pPr>
      <w:r>
        <w:rPr>
          <w:rFonts w:hint="eastAsia" w:ascii="宋体" w:hAnsi="宋体" w:eastAsia="方正仿宋_GBK" w:cs="方正仿宋_GBK"/>
          <w:kern w:val="0"/>
          <w:sz w:val="32"/>
          <w:szCs w:val="32"/>
        </w:rPr>
        <w:t>根据预算绩效管理要求，我</w:t>
      </w:r>
      <w:r>
        <w:rPr>
          <w:rFonts w:hint="eastAsia" w:ascii="宋体" w:hAnsi="宋体" w:eastAsia="方正仿宋_GBK" w:cs="方正仿宋_GBK"/>
          <w:kern w:val="0"/>
          <w:sz w:val="32"/>
          <w:szCs w:val="32"/>
          <w:lang w:val="en-US" w:eastAsia="zh-CN"/>
        </w:rPr>
        <w:t>单位</w:t>
      </w:r>
      <w:r>
        <w:rPr>
          <w:rFonts w:hint="eastAsia" w:ascii="宋体" w:hAnsi="宋体" w:eastAsia="方正仿宋_GBK" w:cs="方正仿宋_GBK"/>
          <w:kern w:val="0"/>
          <w:sz w:val="32"/>
          <w:szCs w:val="32"/>
        </w:rPr>
        <w:t>对</w:t>
      </w:r>
      <w:r>
        <w:rPr>
          <w:rFonts w:hint="eastAsia" w:ascii="宋体" w:hAnsi="宋体" w:eastAsia="方正仿宋_GBK" w:cs="方正仿宋_GBK"/>
          <w:kern w:val="0"/>
          <w:sz w:val="32"/>
          <w:szCs w:val="32"/>
          <w:lang w:val="en-US" w:eastAsia="zh-CN"/>
        </w:rPr>
        <w:t>7</w:t>
      </w:r>
      <w:r>
        <w:rPr>
          <w:rFonts w:hint="eastAsia" w:ascii="宋体" w:hAnsi="宋体" w:eastAsia="方正仿宋_GBK" w:cs="方正仿宋_GBK"/>
          <w:kern w:val="0"/>
          <w:sz w:val="32"/>
          <w:szCs w:val="32"/>
        </w:rPr>
        <w:t>个项目开展了绩效自评，其中，以填报目标自评表形式开展自评</w:t>
      </w:r>
      <w:r>
        <w:rPr>
          <w:rFonts w:hint="eastAsia" w:ascii="宋体" w:hAnsi="宋体" w:eastAsia="方正仿宋_GBK" w:cs="方正仿宋_GBK"/>
          <w:kern w:val="0"/>
          <w:sz w:val="32"/>
          <w:szCs w:val="32"/>
          <w:lang w:val="en-US" w:eastAsia="zh-CN"/>
        </w:rPr>
        <w:t>7</w:t>
      </w:r>
      <w:r>
        <w:rPr>
          <w:rFonts w:hint="eastAsia" w:ascii="宋体" w:hAnsi="宋体" w:eastAsia="方正仿宋_GBK" w:cs="方正仿宋_GBK"/>
          <w:kern w:val="0"/>
          <w:sz w:val="32"/>
          <w:szCs w:val="32"/>
        </w:rPr>
        <w:t>项，涉及资金</w:t>
      </w:r>
      <w:r>
        <w:rPr>
          <w:rFonts w:hint="eastAsia" w:ascii="宋体" w:hAnsi="宋体" w:eastAsia="方正仿宋_GBK" w:cs="方正仿宋_GBK"/>
          <w:kern w:val="0"/>
          <w:sz w:val="32"/>
          <w:szCs w:val="32"/>
          <w:lang w:val="en-US" w:eastAsia="zh-CN"/>
        </w:rPr>
        <w:t>69.54</w:t>
      </w:r>
      <w:r>
        <w:rPr>
          <w:rFonts w:hint="eastAsia" w:ascii="宋体" w:hAnsi="宋体" w:eastAsia="方正仿宋_GBK" w:cs="方正仿宋_GBK"/>
          <w:kern w:val="0"/>
          <w:sz w:val="32"/>
          <w:szCs w:val="32"/>
        </w:rPr>
        <w:t>万元</w:t>
      </w:r>
      <w:r>
        <w:rPr>
          <w:rFonts w:hint="eastAsia" w:ascii="宋体" w:hAnsi="宋体" w:eastAsia="方正仿宋_GBK" w:cs="方正仿宋_GBK"/>
          <w:kern w:val="0"/>
          <w:sz w:val="32"/>
          <w:szCs w:val="32"/>
          <w:lang w:eastAsia="zh-CN"/>
        </w:rPr>
        <w:t>。</w:t>
      </w:r>
    </w:p>
    <w:p>
      <w:pPr>
        <w:pStyle w:val="5"/>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0" w:firstLineChars="200"/>
        <w:jc w:val="left"/>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（二）绩效自评结果</w:t>
      </w:r>
    </w:p>
    <w:p>
      <w:pPr>
        <w:pStyle w:val="5"/>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0" w:firstLineChars="200"/>
        <w:jc w:val="left"/>
        <w:textAlignment w:val="auto"/>
        <w:rPr>
          <w:rFonts w:hint="eastAsia" w:ascii="宋体" w:hAnsi="宋体" w:eastAsia="方正仿宋_GBK" w:cs="方正仿宋_GBK"/>
          <w:color w:val="000000"/>
          <w:kern w:val="0"/>
          <w:sz w:val="36"/>
          <w:szCs w:val="36"/>
          <w:lang w:val="en-US" w:eastAsia="zh-CN"/>
        </w:rPr>
      </w:pPr>
      <w:r>
        <w:rPr>
          <w:rFonts w:hint="eastAsia" w:ascii="宋体" w:hAnsi="宋体" w:eastAsia="方正仿宋_GBK" w:cs="方正仿宋_GBK"/>
          <w:b/>
          <w:bCs/>
          <w:color w:val="auto"/>
          <w:sz w:val="32"/>
          <w:lang w:val="en-US" w:eastAsia="zh-CN"/>
        </w:rPr>
        <w:t>1. 绩效目标自评表</w:t>
      </w:r>
    </w:p>
    <w:p>
      <w:pPr>
        <w:pStyle w:val="9"/>
        <w:keepNext w:val="0"/>
        <w:keepLines w:val="0"/>
        <w:pageBreakBefore w:val="0"/>
        <w:tabs>
          <w:tab w:val="center" w:pos="4153"/>
          <w:tab w:val="left" w:pos="7275"/>
        </w:tabs>
        <w:kinsoku/>
        <w:wordWrap/>
        <w:overflowPunct/>
        <w:topLinePunct w:val="0"/>
        <w:autoSpaceDN/>
        <w:bidi w:val="0"/>
        <w:snapToGrid/>
        <w:spacing w:line="579" w:lineRule="exact"/>
        <w:ind w:firstLine="0" w:firstLineChars="0"/>
        <w:jc w:val="both"/>
        <w:textAlignment w:val="auto"/>
        <w:rPr>
          <w:rFonts w:hint="eastAsia" w:ascii="宋体" w:hAnsi="宋体" w:eastAsia="方正仿宋_GBK" w:cs="方正仿宋_GBK"/>
          <w:color w:val="000000"/>
          <w:kern w:val="0"/>
          <w:sz w:val="36"/>
          <w:szCs w:val="36"/>
          <w:lang w:val="en-US" w:eastAsia="zh-CN"/>
        </w:rPr>
      </w:pPr>
    </w:p>
    <w:p>
      <w:pPr>
        <w:pStyle w:val="9"/>
        <w:keepNext w:val="0"/>
        <w:keepLines w:val="0"/>
        <w:pageBreakBefore w:val="0"/>
        <w:tabs>
          <w:tab w:val="center" w:pos="4153"/>
          <w:tab w:val="left" w:pos="7275"/>
        </w:tabs>
        <w:kinsoku/>
        <w:wordWrap/>
        <w:overflowPunct/>
        <w:topLinePunct w:val="0"/>
        <w:autoSpaceDN/>
        <w:bidi w:val="0"/>
        <w:snapToGrid/>
        <w:spacing w:line="579" w:lineRule="exact"/>
        <w:ind w:firstLine="0" w:firstLineChars="0"/>
        <w:jc w:val="center"/>
        <w:textAlignment w:val="auto"/>
        <w:rPr>
          <w:rFonts w:hint="eastAsia" w:ascii="方正黑体_GBK" w:hAnsi="方正黑体_GBK" w:eastAsia="方正黑体_GBK" w:cs="方正黑体_GBK"/>
          <w:b w:val="0"/>
          <w:bCs w:val="0"/>
          <w:color w:val="000000"/>
          <w:kern w:val="0"/>
          <w:sz w:val="36"/>
          <w:szCs w:val="36"/>
        </w:rPr>
      </w:pPr>
      <w:r>
        <w:rPr>
          <w:rFonts w:hint="eastAsia" w:ascii="方正黑体_GBK" w:hAnsi="方正黑体_GBK" w:eastAsia="方正黑体_GBK" w:cs="方正黑体_GBK"/>
          <w:b w:val="0"/>
          <w:bCs w:val="0"/>
          <w:color w:val="000000"/>
          <w:kern w:val="0"/>
          <w:sz w:val="36"/>
          <w:szCs w:val="36"/>
          <w:lang w:val="en-US" w:eastAsia="zh-CN"/>
        </w:rPr>
        <w:t>2024年度项目</w:t>
      </w:r>
      <w:r>
        <w:rPr>
          <w:rFonts w:hint="eastAsia" w:ascii="方正黑体_GBK" w:hAnsi="方正黑体_GBK" w:eastAsia="方正黑体_GBK" w:cs="方正黑体_GBK"/>
          <w:b w:val="0"/>
          <w:bCs w:val="0"/>
          <w:color w:val="000000"/>
          <w:kern w:val="0"/>
          <w:sz w:val="36"/>
          <w:szCs w:val="36"/>
        </w:rPr>
        <w:t>绩效自评表</w:t>
      </w:r>
    </w:p>
    <w:tbl>
      <w:tblPr>
        <w:tblStyle w:val="6"/>
        <w:tblW w:w="10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931"/>
        <w:gridCol w:w="690"/>
        <w:gridCol w:w="660"/>
        <w:gridCol w:w="525"/>
        <w:gridCol w:w="211"/>
        <w:gridCol w:w="1019"/>
        <w:gridCol w:w="915"/>
        <w:gridCol w:w="1066"/>
        <w:gridCol w:w="1092"/>
        <w:gridCol w:w="938"/>
        <w:gridCol w:w="346"/>
        <w:gridCol w:w="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项目</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名称</w:t>
            </w:r>
          </w:p>
        </w:tc>
        <w:tc>
          <w:tcPr>
            <w:tcW w:w="4036" w:type="dxa"/>
            <w:gridSpan w:val="6"/>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集中供养孤儿生活费</w:t>
            </w:r>
          </w:p>
        </w:tc>
        <w:tc>
          <w:tcPr>
            <w:tcW w:w="91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自评总分（分）</w:t>
            </w:r>
          </w:p>
        </w:tc>
        <w:tc>
          <w:tcPr>
            <w:tcW w:w="4334"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lang w:val="en-US" w:eastAsia="zh-CN"/>
              </w:rPr>
              <w:t>项目</w:t>
            </w:r>
            <w:r>
              <w:rPr>
                <w:rFonts w:hint="eastAsia" w:ascii="宋体" w:hAnsi="宋体" w:eastAsia="方正仿宋_GBK" w:cs="方正仿宋_GBK"/>
                <w:color w:val="000000"/>
                <w:kern w:val="0"/>
                <w:sz w:val="21"/>
                <w:szCs w:val="21"/>
              </w:rPr>
              <w:t>主管部门</w:t>
            </w:r>
          </w:p>
        </w:tc>
        <w:tc>
          <w:tcPr>
            <w:tcW w:w="162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309-重庆市江津区社会福利院</w:t>
            </w:r>
          </w:p>
        </w:tc>
        <w:tc>
          <w:tcPr>
            <w:tcW w:w="1185"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财政归口科室</w:t>
            </w:r>
          </w:p>
        </w:tc>
        <w:tc>
          <w:tcPr>
            <w:tcW w:w="123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003-社会保障科</w:t>
            </w:r>
          </w:p>
        </w:tc>
        <w:tc>
          <w:tcPr>
            <w:tcW w:w="91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项目</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联系人</w:t>
            </w:r>
          </w:p>
        </w:tc>
        <w:tc>
          <w:tcPr>
            <w:tcW w:w="1066"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郭禄娟</w:t>
            </w:r>
          </w:p>
        </w:tc>
        <w:tc>
          <w:tcPr>
            <w:tcW w:w="10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联系电话</w:t>
            </w:r>
          </w:p>
        </w:tc>
        <w:tc>
          <w:tcPr>
            <w:tcW w:w="2176"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18725881886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47" w:type="dxa"/>
            <w:vMerge w:val="restart"/>
            <w:tcBorders>
              <w:tl2br w:val="nil"/>
              <w:tr2bl w:val="nil"/>
            </w:tcBorders>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ind w:left="113" w:right="113"/>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项目资金（万元）</w:t>
            </w:r>
          </w:p>
        </w:tc>
        <w:tc>
          <w:tcPr>
            <w:tcW w:w="1621"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年度总金额</w:t>
            </w:r>
          </w:p>
        </w:tc>
        <w:tc>
          <w:tcPr>
            <w:tcW w:w="1185"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年初</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预算数</w:t>
            </w:r>
          </w:p>
        </w:tc>
        <w:tc>
          <w:tcPr>
            <w:tcW w:w="123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全年（调整）预算数</w:t>
            </w:r>
          </w:p>
        </w:tc>
        <w:tc>
          <w:tcPr>
            <w:tcW w:w="198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全年执行数</w:t>
            </w:r>
          </w:p>
        </w:tc>
        <w:tc>
          <w:tcPr>
            <w:tcW w:w="10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执行率</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w:t>
            </w:r>
          </w:p>
        </w:tc>
        <w:tc>
          <w:tcPr>
            <w:tcW w:w="93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执行率</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权重</w:t>
            </w:r>
          </w:p>
        </w:tc>
        <w:tc>
          <w:tcPr>
            <w:tcW w:w="1238"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执行率</w:t>
            </w:r>
            <w:r>
              <w:rPr>
                <w:rFonts w:hint="eastAsia" w:ascii="宋体" w:hAnsi="宋体" w:eastAsia="方正仿宋_GBK" w:cs="方正仿宋_GBK"/>
                <w:color w:val="000000"/>
                <w:kern w:val="0"/>
                <w:sz w:val="21"/>
                <w:szCs w:val="21"/>
                <w:lang w:val="en-US" w:eastAsia="zh-CN"/>
              </w:rPr>
              <w:t xml:space="preserve">  </w:t>
            </w:r>
            <w:r>
              <w:rPr>
                <w:rFonts w:hint="eastAsia" w:ascii="宋体" w:hAnsi="宋体" w:eastAsia="方正仿宋_GBK" w:cs="方正仿宋_GBK"/>
                <w:color w:val="000000"/>
                <w:kern w:val="0"/>
                <w:sz w:val="21"/>
                <w:szCs w:val="21"/>
              </w:rPr>
              <w:t>得分（分）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47"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p>
        </w:tc>
        <w:tc>
          <w:tcPr>
            <w:tcW w:w="1621"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p>
        </w:tc>
        <w:tc>
          <w:tcPr>
            <w:tcW w:w="1185"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836489.62</w:t>
            </w:r>
          </w:p>
        </w:tc>
        <w:tc>
          <w:tcPr>
            <w:tcW w:w="123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324255.98</w:t>
            </w:r>
          </w:p>
        </w:tc>
        <w:tc>
          <w:tcPr>
            <w:tcW w:w="198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324255.98</w:t>
            </w:r>
          </w:p>
        </w:tc>
        <w:tc>
          <w:tcPr>
            <w:tcW w:w="10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p>
        </w:tc>
        <w:tc>
          <w:tcPr>
            <w:tcW w:w="93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kern w:val="0"/>
                <w:sz w:val="21"/>
                <w:szCs w:val="21"/>
              </w:rPr>
            </w:pPr>
          </w:p>
        </w:tc>
        <w:tc>
          <w:tcPr>
            <w:tcW w:w="1238"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47"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p>
        </w:tc>
        <w:tc>
          <w:tcPr>
            <w:tcW w:w="162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其中：</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财政拨款</w:t>
            </w:r>
          </w:p>
        </w:tc>
        <w:tc>
          <w:tcPr>
            <w:tcW w:w="1185"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836489.62</w:t>
            </w:r>
          </w:p>
        </w:tc>
        <w:tc>
          <w:tcPr>
            <w:tcW w:w="123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324255.98</w:t>
            </w:r>
          </w:p>
        </w:tc>
        <w:tc>
          <w:tcPr>
            <w:tcW w:w="198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324255.98</w:t>
            </w:r>
          </w:p>
        </w:tc>
        <w:tc>
          <w:tcPr>
            <w:tcW w:w="10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100</w:t>
            </w:r>
          </w:p>
        </w:tc>
        <w:tc>
          <w:tcPr>
            <w:tcW w:w="93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10</w:t>
            </w:r>
          </w:p>
        </w:tc>
        <w:tc>
          <w:tcPr>
            <w:tcW w:w="1238"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47"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当年绩效目标</w:t>
            </w:r>
          </w:p>
        </w:tc>
        <w:tc>
          <w:tcPr>
            <w:tcW w:w="3017"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年初绩效目标</w:t>
            </w:r>
          </w:p>
        </w:tc>
        <w:tc>
          <w:tcPr>
            <w:tcW w:w="3000"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全年（调整）绩效目标</w:t>
            </w:r>
          </w:p>
        </w:tc>
        <w:tc>
          <w:tcPr>
            <w:tcW w:w="3268" w:type="dxa"/>
            <w:gridSpan w:val="4"/>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全年目标实际完成情况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847"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p>
        </w:tc>
        <w:tc>
          <w:tcPr>
            <w:tcW w:w="3017" w:type="dxa"/>
            <w:gridSpan w:val="5"/>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大力宣传政策，保障福利机构集中供养孤儿基本生活需求、学习教育需求、医疗康复需求、保障孤儿教养康工作顺利开展，让孤儿在良好的生活环境中身心健康成长。</w:t>
            </w:r>
          </w:p>
        </w:tc>
        <w:tc>
          <w:tcPr>
            <w:tcW w:w="3000"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p>
        </w:tc>
        <w:tc>
          <w:tcPr>
            <w:tcW w:w="3268" w:type="dxa"/>
            <w:gridSpan w:val="4"/>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全面完成保障在福利机构的孤儿基本生活需求，学习教育需求，医疗康复需求、保障孤儿教养康工作顺利开展。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47" w:type="dxa"/>
            <w:vMerge w:val="restart"/>
            <w:tcBorders>
              <w:tl2br w:val="nil"/>
              <w:tr2bl w:val="nil"/>
            </w:tcBorders>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绩效指标</w:t>
            </w:r>
          </w:p>
        </w:tc>
        <w:tc>
          <w:tcPr>
            <w:tcW w:w="93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指标</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名称</w:t>
            </w:r>
          </w:p>
        </w:tc>
        <w:tc>
          <w:tcPr>
            <w:tcW w:w="69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计量</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单位</w:t>
            </w:r>
          </w:p>
        </w:tc>
        <w:tc>
          <w:tcPr>
            <w:tcW w:w="66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指标</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性质</w:t>
            </w:r>
          </w:p>
        </w:tc>
        <w:tc>
          <w:tcPr>
            <w:tcW w:w="736"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指标</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值</w:t>
            </w:r>
          </w:p>
        </w:tc>
        <w:tc>
          <w:tcPr>
            <w:tcW w:w="101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全年</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完成值</w:t>
            </w:r>
          </w:p>
        </w:tc>
        <w:tc>
          <w:tcPr>
            <w:tcW w:w="91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偏离度（%）</w:t>
            </w:r>
          </w:p>
        </w:tc>
        <w:tc>
          <w:tcPr>
            <w:tcW w:w="1066"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得分系数</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w:t>
            </w:r>
          </w:p>
        </w:tc>
        <w:tc>
          <w:tcPr>
            <w:tcW w:w="10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指标权重</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（分）</w:t>
            </w:r>
          </w:p>
        </w:tc>
        <w:tc>
          <w:tcPr>
            <w:tcW w:w="128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指标得分</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（分）</w:t>
            </w:r>
          </w:p>
        </w:tc>
        <w:tc>
          <w:tcPr>
            <w:tcW w:w="8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47"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宋体" w:hAnsi="宋体" w:eastAsia="方正仿宋_GBK" w:cs="方正仿宋_GBK"/>
                <w:color w:val="000000"/>
                <w:kern w:val="0"/>
                <w:sz w:val="21"/>
                <w:szCs w:val="21"/>
              </w:rPr>
            </w:pPr>
          </w:p>
        </w:tc>
        <w:tc>
          <w:tcPr>
            <w:tcW w:w="93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新增对象资格合格率</w:t>
            </w:r>
          </w:p>
        </w:tc>
        <w:tc>
          <w:tcPr>
            <w:tcW w:w="69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w:t>
            </w:r>
          </w:p>
        </w:tc>
        <w:tc>
          <w:tcPr>
            <w:tcW w:w="66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w:t>
            </w:r>
          </w:p>
        </w:tc>
        <w:tc>
          <w:tcPr>
            <w:tcW w:w="736"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95</w:t>
            </w:r>
          </w:p>
        </w:tc>
        <w:tc>
          <w:tcPr>
            <w:tcW w:w="101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100</w:t>
            </w:r>
          </w:p>
        </w:tc>
        <w:tc>
          <w:tcPr>
            <w:tcW w:w="91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5.26</w:t>
            </w:r>
          </w:p>
        </w:tc>
        <w:tc>
          <w:tcPr>
            <w:tcW w:w="1066"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100</w:t>
            </w:r>
          </w:p>
        </w:tc>
        <w:tc>
          <w:tcPr>
            <w:tcW w:w="10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10</w:t>
            </w:r>
          </w:p>
        </w:tc>
        <w:tc>
          <w:tcPr>
            <w:tcW w:w="128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lang w:val="en-US" w:eastAsia="zh-CN"/>
              </w:rPr>
              <w:t>10</w:t>
            </w:r>
          </w:p>
        </w:tc>
        <w:tc>
          <w:tcPr>
            <w:tcW w:w="8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47"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sz w:val="21"/>
                <w:szCs w:val="21"/>
              </w:rPr>
            </w:pPr>
          </w:p>
        </w:tc>
        <w:tc>
          <w:tcPr>
            <w:tcW w:w="93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在册对象核查率</w:t>
            </w:r>
          </w:p>
        </w:tc>
        <w:tc>
          <w:tcPr>
            <w:tcW w:w="69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w:t>
            </w:r>
          </w:p>
        </w:tc>
        <w:tc>
          <w:tcPr>
            <w:tcW w:w="66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w:t>
            </w:r>
          </w:p>
        </w:tc>
        <w:tc>
          <w:tcPr>
            <w:tcW w:w="736"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95</w:t>
            </w:r>
          </w:p>
        </w:tc>
        <w:tc>
          <w:tcPr>
            <w:tcW w:w="101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100</w:t>
            </w:r>
          </w:p>
        </w:tc>
        <w:tc>
          <w:tcPr>
            <w:tcW w:w="91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5.26</w:t>
            </w:r>
          </w:p>
        </w:tc>
        <w:tc>
          <w:tcPr>
            <w:tcW w:w="1066"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100</w:t>
            </w:r>
          </w:p>
        </w:tc>
        <w:tc>
          <w:tcPr>
            <w:tcW w:w="10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15</w:t>
            </w:r>
          </w:p>
        </w:tc>
        <w:tc>
          <w:tcPr>
            <w:tcW w:w="128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方正仿宋_GBK" w:cs="方正仿宋_GBK"/>
                <w:color w:val="000000"/>
                <w:kern w:val="0"/>
                <w:sz w:val="21"/>
                <w:szCs w:val="21"/>
                <w:lang w:val="en-US"/>
              </w:rPr>
            </w:pPr>
            <w:r>
              <w:rPr>
                <w:rFonts w:hint="eastAsia" w:ascii="宋体" w:hAnsi="宋体" w:eastAsia="方正仿宋_GBK" w:cs="方正仿宋_GBK"/>
                <w:color w:val="000000"/>
                <w:kern w:val="0"/>
                <w:sz w:val="21"/>
                <w:szCs w:val="21"/>
                <w:lang w:val="en-US" w:eastAsia="zh-CN"/>
              </w:rPr>
              <w:t>15</w:t>
            </w:r>
          </w:p>
        </w:tc>
        <w:tc>
          <w:tcPr>
            <w:tcW w:w="8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47"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宋体" w:hAnsi="宋体" w:eastAsia="方正仿宋_GBK" w:cs="方正仿宋_GBK"/>
                <w:color w:val="000000"/>
                <w:kern w:val="0"/>
                <w:sz w:val="21"/>
                <w:szCs w:val="21"/>
              </w:rPr>
            </w:pPr>
          </w:p>
        </w:tc>
        <w:tc>
          <w:tcPr>
            <w:tcW w:w="93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动态调整及时率</w:t>
            </w:r>
          </w:p>
        </w:tc>
        <w:tc>
          <w:tcPr>
            <w:tcW w:w="69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w:t>
            </w:r>
          </w:p>
        </w:tc>
        <w:tc>
          <w:tcPr>
            <w:tcW w:w="66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w:t>
            </w:r>
          </w:p>
        </w:tc>
        <w:tc>
          <w:tcPr>
            <w:tcW w:w="736"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95</w:t>
            </w:r>
          </w:p>
        </w:tc>
        <w:tc>
          <w:tcPr>
            <w:tcW w:w="101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100</w:t>
            </w:r>
          </w:p>
        </w:tc>
        <w:tc>
          <w:tcPr>
            <w:tcW w:w="91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5.26</w:t>
            </w:r>
          </w:p>
        </w:tc>
        <w:tc>
          <w:tcPr>
            <w:tcW w:w="1066"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100</w:t>
            </w:r>
          </w:p>
        </w:tc>
        <w:tc>
          <w:tcPr>
            <w:tcW w:w="10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15</w:t>
            </w:r>
          </w:p>
        </w:tc>
        <w:tc>
          <w:tcPr>
            <w:tcW w:w="128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15</w:t>
            </w:r>
          </w:p>
        </w:tc>
        <w:tc>
          <w:tcPr>
            <w:tcW w:w="8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47"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宋体" w:hAnsi="宋体" w:eastAsia="方正仿宋_GBK" w:cs="方正仿宋_GBK"/>
                <w:color w:val="000000"/>
                <w:kern w:val="0"/>
                <w:sz w:val="21"/>
                <w:szCs w:val="21"/>
              </w:rPr>
            </w:pPr>
          </w:p>
        </w:tc>
        <w:tc>
          <w:tcPr>
            <w:tcW w:w="93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补助事项公示率</w:t>
            </w:r>
          </w:p>
        </w:tc>
        <w:tc>
          <w:tcPr>
            <w:tcW w:w="69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w:t>
            </w:r>
          </w:p>
        </w:tc>
        <w:tc>
          <w:tcPr>
            <w:tcW w:w="66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w:t>
            </w:r>
          </w:p>
        </w:tc>
        <w:tc>
          <w:tcPr>
            <w:tcW w:w="736"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95</w:t>
            </w:r>
          </w:p>
        </w:tc>
        <w:tc>
          <w:tcPr>
            <w:tcW w:w="101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100</w:t>
            </w:r>
          </w:p>
        </w:tc>
        <w:tc>
          <w:tcPr>
            <w:tcW w:w="91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5.26</w:t>
            </w:r>
          </w:p>
        </w:tc>
        <w:tc>
          <w:tcPr>
            <w:tcW w:w="1066"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100</w:t>
            </w:r>
          </w:p>
        </w:tc>
        <w:tc>
          <w:tcPr>
            <w:tcW w:w="10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15</w:t>
            </w:r>
          </w:p>
        </w:tc>
        <w:tc>
          <w:tcPr>
            <w:tcW w:w="128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15</w:t>
            </w:r>
          </w:p>
        </w:tc>
        <w:tc>
          <w:tcPr>
            <w:tcW w:w="8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47"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宋体" w:hAnsi="宋体" w:eastAsia="方正仿宋_GBK" w:cs="方正仿宋_GBK"/>
                <w:color w:val="000000"/>
                <w:kern w:val="0"/>
                <w:sz w:val="21"/>
                <w:szCs w:val="21"/>
              </w:rPr>
            </w:pPr>
          </w:p>
        </w:tc>
        <w:tc>
          <w:tcPr>
            <w:tcW w:w="93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补助政策知晓率</w:t>
            </w:r>
          </w:p>
        </w:tc>
        <w:tc>
          <w:tcPr>
            <w:tcW w:w="69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w:t>
            </w:r>
          </w:p>
        </w:tc>
        <w:tc>
          <w:tcPr>
            <w:tcW w:w="66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w:t>
            </w:r>
          </w:p>
        </w:tc>
        <w:tc>
          <w:tcPr>
            <w:tcW w:w="736"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90</w:t>
            </w:r>
          </w:p>
        </w:tc>
        <w:tc>
          <w:tcPr>
            <w:tcW w:w="101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100</w:t>
            </w:r>
          </w:p>
        </w:tc>
        <w:tc>
          <w:tcPr>
            <w:tcW w:w="91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11.11</w:t>
            </w:r>
          </w:p>
        </w:tc>
        <w:tc>
          <w:tcPr>
            <w:tcW w:w="1066"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100</w:t>
            </w:r>
          </w:p>
        </w:tc>
        <w:tc>
          <w:tcPr>
            <w:tcW w:w="10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15</w:t>
            </w:r>
          </w:p>
        </w:tc>
        <w:tc>
          <w:tcPr>
            <w:tcW w:w="128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15</w:t>
            </w:r>
          </w:p>
        </w:tc>
        <w:tc>
          <w:tcPr>
            <w:tcW w:w="8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47"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宋体" w:hAnsi="宋体" w:eastAsia="方正仿宋_GBK" w:cs="方正仿宋_GBK"/>
                <w:color w:val="000000"/>
                <w:kern w:val="0"/>
                <w:sz w:val="21"/>
                <w:szCs w:val="21"/>
              </w:rPr>
            </w:pPr>
          </w:p>
        </w:tc>
        <w:tc>
          <w:tcPr>
            <w:tcW w:w="93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受益对象满意度</w:t>
            </w:r>
          </w:p>
        </w:tc>
        <w:tc>
          <w:tcPr>
            <w:tcW w:w="69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w:t>
            </w:r>
          </w:p>
        </w:tc>
        <w:tc>
          <w:tcPr>
            <w:tcW w:w="66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w:t>
            </w:r>
          </w:p>
        </w:tc>
        <w:tc>
          <w:tcPr>
            <w:tcW w:w="736"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90</w:t>
            </w:r>
          </w:p>
        </w:tc>
        <w:tc>
          <w:tcPr>
            <w:tcW w:w="101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100</w:t>
            </w:r>
          </w:p>
        </w:tc>
        <w:tc>
          <w:tcPr>
            <w:tcW w:w="91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11.11</w:t>
            </w:r>
          </w:p>
        </w:tc>
        <w:tc>
          <w:tcPr>
            <w:tcW w:w="1066"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100</w:t>
            </w:r>
          </w:p>
        </w:tc>
        <w:tc>
          <w:tcPr>
            <w:tcW w:w="10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10</w:t>
            </w:r>
          </w:p>
        </w:tc>
        <w:tc>
          <w:tcPr>
            <w:tcW w:w="128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10</w:t>
            </w:r>
          </w:p>
        </w:tc>
        <w:tc>
          <w:tcPr>
            <w:tcW w:w="8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47"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ascii="宋体" w:hAnsi="宋体" w:eastAsia="方正仿宋_GBK" w:cs="方正仿宋_GBK"/>
                <w:color w:val="000000"/>
                <w:kern w:val="0"/>
                <w:sz w:val="21"/>
                <w:szCs w:val="21"/>
              </w:rPr>
            </w:pPr>
          </w:p>
        </w:tc>
        <w:tc>
          <w:tcPr>
            <w:tcW w:w="93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人均月标准</w:t>
            </w:r>
          </w:p>
        </w:tc>
        <w:tc>
          <w:tcPr>
            <w:tcW w:w="69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元/人*月</w:t>
            </w:r>
          </w:p>
        </w:tc>
        <w:tc>
          <w:tcPr>
            <w:tcW w:w="66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w:t>
            </w:r>
          </w:p>
        </w:tc>
        <w:tc>
          <w:tcPr>
            <w:tcW w:w="736"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1605</w:t>
            </w:r>
          </w:p>
        </w:tc>
        <w:tc>
          <w:tcPr>
            <w:tcW w:w="101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1605</w:t>
            </w:r>
          </w:p>
        </w:tc>
        <w:tc>
          <w:tcPr>
            <w:tcW w:w="91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0</w:t>
            </w:r>
          </w:p>
        </w:tc>
        <w:tc>
          <w:tcPr>
            <w:tcW w:w="1066"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100</w:t>
            </w:r>
          </w:p>
        </w:tc>
        <w:tc>
          <w:tcPr>
            <w:tcW w:w="10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10</w:t>
            </w:r>
          </w:p>
        </w:tc>
        <w:tc>
          <w:tcPr>
            <w:tcW w:w="1284"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方正仿宋_GBK" w:cs="方正仿宋_GBK"/>
                <w:color w:val="000000"/>
                <w:kern w:val="0"/>
                <w:sz w:val="21"/>
                <w:szCs w:val="21"/>
                <w:lang w:val="en-US" w:eastAsia="zh-CN"/>
              </w:rPr>
            </w:pPr>
            <w:r>
              <w:rPr>
                <w:rFonts w:hint="eastAsia" w:ascii="宋体" w:hAnsi="宋体" w:eastAsia="方正仿宋_GBK" w:cs="方正仿宋_GBK"/>
                <w:color w:val="000000"/>
                <w:kern w:val="0"/>
                <w:sz w:val="21"/>
                <w:szCs w:val="21"/>
                <w:lang w:val="en-US" w:eastAsia="zh-CN"/>
              </w:rPr>
              <w:t>10</w:t>
            </w:r>
          </w:p>
        </w:tc>
        <w:tc>
          <w:tcPr>
            <w:tcW w:w="8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方正仿宋_GBK" w:cs="方正仿宋_GBK"/>
                <w:color w:val="000000"/>
                <w:kern w:val="0"/>
                <w:sz w:val="21"/>
                <w:szCs w:val="21"/>
              </w:rPr>
            </w:pPr>
            <w:r>
              <w:rPr>
                <w:rFonts w:hint="eastAsia" w:ascii="宋体" w:hAnsi="宋体" w:eastAsia="方正仿宋_GBK" w:cs="方正仿宋_GBK"/>
                <w:color w:val="000000"/>
                <w:kern w:val="0"/>
                <w:sz w:val="21"/>
                <w:szCs w:val="21"/>
              </w:rPr>
              <w:t>院内儿童8月移送重庆</w:t>
            </w:r>
          </w:p>
        </w:tc>
      </w:tr>
    </w:tbl>
    <w:p>
      <w:pPr>
        <w:pStyle w:val="9"/>
        <w:keepNext w:val="0"/>
        <w:keepLines w:val="0"/>
        <w:pageBreakBefore w:val="0"/>
        <w:widowControl w:val="0"/>
        <w:numPr>
          <w:ilvl w:val="0"/>
          <w:numId w:val="7"/>
        </w:numPr>
        <w:tabs>
          <w:tab w:val="center" w:pos="4153"/>
          <w:tab w:val="left" w:pos="7275"/>
        </w:tabs>
        <w:kinsoku/>
        <w:wordWrap/>
        <w:overflowPunct/>
        <w:topLinePunct w:val="0"/>
        <w:autoSpaceDE/>
        <w:autoSpaceDN/>
        <w:bidi w:val="0"/>
        <w:adjustRightInd/>
        <w:snapToGrid/>
        <w:spacing w:line="579" w:lineRule="exact"/>
        <w:ind w:left="0" w:leftChars="0" w:firstLine="640" w:firstLineChars="200"/>
        <w:textAlignment w:val="auto"/>
        <w:rPr>
          <w:rFonts w:hint="eastAsia" w:ascii="宋体" w:hAnsi="宋体" w:eastAsia="方正仿宋_GBK" w:cs="方正仿宋_GBK"/>
          <w:b/>
          <w:bCs w:val="0"/>
          <w:kern w:val="0"/>
          <w:sz w:val="32"/>
          <w:szCs w:val="32"/>
        </w:rPr>
      </w:pPr>
      <w:r>
        <w:rPr>
          <w:rFonts w:hint="eastAsia" w:ascii="宋体" w:hAnsi="宋体" w:eastAsia="方正仿宋_GBK" w:cs="方正仿宋_GBK"/>
          <w:b/>
          <w:bCs w:val="0"/>
          <w:kern w:val="0"/>
          <w:sz w:val="32"/>
          <w:szCs w:val="32"/>
        </w:rPr>
        <w:t>绩效自评报告或案例</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color w:val="auto"/>
          <w:kern w:val="0"/>
          <w:sz w:val="32"/>
          <w:szCs w:val="32"/>
          <w:lang w:eastAsia="zh-CN"/>
        </w:rPr>
      </w:pPr>
      <w:r>
        <w:rPr>
          <w:rFonts w:hint="eastAsia" w:ascii="宋体" w:hAnsi="宋体" w:eastAsia="方正仿宋_GBK" w:cs="方正仿宋_GBK"/>
          <w:color w:val="auto"/>
          <w:kern w:val="0"/>
          <w:sz w:val="32"/>
          <w:szCs w:val="32"/>
          <w:lang w:val="en-US" w:eastAsia="zh-CN"/>
        </w:rPr>
        <w:t>本单位无此事项。</w:t>
      </w:r>
    </w:p>
    <w:p>
      <w:pPr>
        <w:pStyle w:val="9"/>
        <w:keepNext w:val="0"/>
        <w:keepLines w:val="0"/>
        <w:pageBreakBefore w:val="0"/>
        <w:widowControl w:val="0"/>
        <w:numPr>
          <w:ilvl w:val="0"/>
          <w:numId w:val="7"/>
        </w:numPr>
        <w:tabs>
          <w:tab w:val="center" w:pos="4153"/>
          <w:tab w:val="left" w:pos="7275"/>
        </w:tabs>
        <w:kinsoku/>
        <w:wordWrap/>
        <w:overflowPunct/>
        <w:topLinePunct w:val="0"/>
        <w:autoSpaceDE/>
        <w:autoSpaceDN/>
        <w:bidi w:val="0"/>
        <w:adjustRightInd/>
        <w:snapToGrid/>
        <w:spacing w:line="579" w:lineRule="exact"/>
        <w:ind w:left="0" w:leftChars="0" w:firstLine="640" w:firstLineChars="200"/>
        <w:textAlignment w:val="auto"/>
        <w:rPr>
          <w:rFonts w:hint="eastAsia" w:ascii="宋体" w:hAnsi="宋体" w:eastAsia="方正仿宋_GBK" w:cs="方正仿宋_GBK"/>
          <w:b/>
          <w:bCs/>
          <w:color w:val="000000"/>
          <w:kern w:val="0"/>
          <w:sz w:val="32"/>
          <w:szCs w:val="32"/>
        </w:rPr>
      </w:pPr>
      <w:r>
        <w:rPr>
          <w:rFonts w:hint="eastAsia" w:ascii="宋体" w:hAnsi="宋体" w:eastAsia="方正仿宋_GBK" w:cs="方正仿宋_GBK"/>
          <w:b/>
          <w:bCs/>
          <w:color w:val="000000"/>
          <w:kern w:val="0"/>
          <w:sz w:val="32"/>
          <w:szCs w:val="32"/>
        </w:rPr>
        <w:t>关于绩效自评结果的说明</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kern w:val="0"/>
          <w:sz w:val="32"/>
          <w:szCs w:val="32"/>
          <w:lang w:val="en-US" w:eastAsia="zh-CN"/>
        </w:rPr>
      </w:pPr>
      <w:r>
        <w:rPr>
          <w:rFonts w:hint="eastAsia" w:ascii="宋体" w:hAnsi="宋体" w:eastAsia="方正仿宋_GBK" w:cs="方正仿宋_GBK"/>
          <w:kern w:val="0"/>
          <w:sz w:val="32"/>
          <w:szCs w:val="32"/>
          <w:lang w:val="en-US" w:eastAsia="zh-CN"/>
        </w:rPr>
        <w:t>无</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1"/>
        <w:rPr>
          <w:rFonts w:hint="eastAsia" w:ascii="宋体" w:hAnsi="宋体" w:eastAsia="方正楷体_GBK" w:cs="方正楷体_GBK"/>
          <w:color w:val="333333"/>
          <w:sz w:val="32"/>
          <w:szCs w:val="32"/>
        </w:rPr>
      </w:pPr>
      <w:r>
        <w:rPr>
          <w:rFonts w:hint="eastAsia" w:ascii="宋体" w:hAnsi="宋体" w:eastAsia="方正楷体_GBK" w:cs="方正楷体_GBK"/>
          <w:color w:val="333333"/>
          <w:sz w:val="32"/>
          <w:szCs w:val="32"/>
        </w:rPr>
        <w:t>（三）重点绩效评价结果</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kern w:val="0"/>
          <w:sz w:val="32"/>
          <w:szCs w:val="32"/>
          <w:lang w:eastAsia="zh-CN"/>
        </w:rPr>
      </w:pPr>
      <w:r>
        <w:rPr>
          <w:rFonts w:hint="eastAsia" w:ascii="宋体" w:hAnsi="宋体" w:eastAsia="方正仿宋_GBK" w:cs="方正仿宋_GBK"/>
          <w:kern w:val="0"/>
          <w:sz w:val="32"/>
          <w:szCs w:val="32"/>
          <w:lang w:val="en-US" w:eastAsia="zh-CN"/>
        </w:rPr>
        <w:t>本单位无此事项。</w:t>
      </w:r>
      <w:r>
        <w:rPr>
          <w:rFonts w:hint="eastAsia" w:ascii="宋体" w:hAnsi="宋体" w:eastAsia="方正仿宋_GBK" w:cs="方正仿宋_GBK"/>
          <w:kern w:val="0"/>
          <w:sz w:val="32"/>
          <w:szCs w:val="32"/>
          <w:lang w:eastAsia="zh-CN"/>
        </w:rPr>
        <w:t>）</w:t>
      </w:r>
    </w:p>
    <w:p>
      <w:pPr>
        <w:pStyle w:val="9"/>
        <w:keepNext w:val="0"/>
        <w:keepLines w:val="0"/>
        <w:pageBreakBefore w:val="0"/>
        <w:widowControl w:val="0"/>
        <w:numPr>
          <w:ilvl w:val="0"/>
          <w:numId w:val="8"/>
        </w:numPr>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专业名词解释</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rPr>
        <w:t>部门应根据实际情况对专业名词进行解释，不得遗漏。</w:t>
      </w:r>
      <w:r>
        <w:rPr>
          <w:rFonts w:hint="eastAsia" w:ascii="宋体" w:hAnsi="宋体" w:eastAsia="方正仿宋_GBK" w:cs="方正仿宋_GBK"/>
          <w:sz w:val="32"/>
          <w:szCs w:val="32"/>
          <w:lang w:val="en-US" w:eastAsia="zh-CN"/>
        </w:rPr>
        <w:t>示例：</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（一）财政拨款收入：指本年度从本级财政部门取得的财政拨款，包括一般公共预算财政拨款和政府性基金预算财政拨款。</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（二）事业收入：指事业单位开展专业业务活动及其辅助活动取得的现金流入；事业单位收到的财政专户实际核拨的教育收费等资金在此反映。</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三</w:t>
      </w:r>
      <w:r>
        <w:rPr>
          <w:rFonts w:hint="eastAsia" w:ascii="宋体" w:hAnsi="宋体" w:eastAsia="方正仿宋_GBK" w:cs="方正仿宋_GBK"/>
          <w:sz w:val="32"/>
          <w:szCs w:val="32"/>
        </w:rPr>
        <w:t>）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四</w:t>
      </w:r>
      <w:r>
        <w:rPr>
          <w:rFonts w:hint="eastAsia" w:ascii="宋体" w:hAnsi="宋体" w:eastAsia="方正仿宋_GBK" w:cs="方正仿宋_GBK"/>
          <w:sz w:val="32"/>
          <w:szCs w:val="32"/>
        </w:rPr>
        <w:t>）使用非财政拨款结余：指单位在当年的“财政拨款收入”、“事业收入”、“经营收入”、“其他收入”等不足以安排当年支出的情况下，使用以前年度积累的非财政拨款结余弥补本年度收支缺口的资金。</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五</w:t>
      </w:r>
      <w:r>
        <w:rPr>
          <w:rFonts w:hint="eastAsia" w:ascii="宋体" w:hAnsi="宋体" w:eastAsia="方正仿宋_GBK" w:cs="方正仿宋_GBK"/>
          <w:sz w:val="32"/>
          <w:szCs w:val="32"/>
        </w:rPr>
        <w:t>）年初结转和结余：指单位上年结转本年使用的基本支出结转、项目支出结转和结余、经营结余。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六</w:t>
      </w:r>
      <w:r>
        <w:rPr>
          <w:rFonts w:hint="eastAsia" w:ascii="宋体" w:hAnsi="宋体" w:eastAsia="方正仿宋_GBK" w:cs="方正仿宋_GBK"/>
          <w:sz w:val="32"/>
          <w:szCs w:val="32"/>
        </w:rPr>
        <w:t>）结余分配：指单位按照国家有关规定，缴纳所得税、提取专用基金、转入非财政拨款结余等当年结余的分配情况。</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七</w:t>
      </w:r>
      <w:r>
        <w:rPr>
          <w:rFonts w:hint="eastAsia" w:ascii="宋体" w:hAnsi="宋体" w:eastAsia="方正仿宋_GBK" w:cs="方正仿宋_GBK"/>
          <w:sz w:val="32"/>
          <w:szCs w:val="32"/>
        </w:rPr>
        <w:t>）年末结转和结余：指单位结转下年的基本支出结转、项目支出结转和结余、经营结余。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八</w:t>
      </w:r>
      <w:r>
        <w:rPr>
          <w:rFonts w:hint="eastAsia" w:ascii="宋体" w:hAnsi="宋体" w:eastAsia="方正仿宋_GBK" w:cs="方正仿宋_GBK"/>
          <w:sz w:val="32"/>
          <w:szCs w:val="32"/>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九</w:t>
      </w:r>
      <w:r>
        <w:rPr>
          <w:rFonts w:hint="eastAsia" w:ascii="宋体" w:hAnsi="宋体" w:eastAsia="方正仿宋_GBK" w:cs="方正仿宋_GBK"/>
          <w:sz w:val="32"/>
          <w:szCs w:val="32"/>
        </w:rPr>
        <w:t>）项目支出：指在基本支出之外为完成特定行政任务和事业发展目标所发生的支出。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一</w:t>
      </w:r>
      <w:r>
        <w:rPr>
          <w:rFonts w:hint="eastAsia" w:ascii="宋体" w:hAnsi="宋体" w:eastAsia="方正仿宋_GBK" w:cs="方正仿宋_GBK"/>
          <w:sz w:val="32"/>
          <w:szCs w:val="32"/>
        </w:rPr>
        <w:t>）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二</w:t>
      </w:r>
      <w:r>
        <w:rPr>
          <w:rFonts w:hint="eastAsia" w:ascii="宋体" w:hAnsi="宋体" w:eastAsia="方正仿宋_GBK" w:cs="方正仿宋_GBK"/>
          <w:sz w:val="32"/>
          <w:szCs w:val="32"/>
        </w:rPr>
        <w:t>）工资福利支出（支出经济分类科目类级）：反映单位开支的在职职工和编制外长期聘用人员的各类劳动报酬，以及为上述人员缴纳的各项社会保险费等。</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三</w:t>
      </w:r>
      <w:r>
        <w:rPr>
          <w:rFonts w:hint="eastAsia" w:ascii="宋体" w:hAnsi="宋体" w:eastAsia="方正仿宋_GBK" w:cs="方正仿宋_GBK"/>
          <w:sz w:val="32"/>
          <w:szCs w:val="32"/>
        </w:rPr>
        <w:t>）商品和服务支出（支出经济分类科目类级）：反映单位购买商品和服务的支出（不包括用于购置固定资产的支出、战略性和应急储备支出）。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四</w:t>
      </w:r>
      <w:r>
        <w:rPr>
          <w:rFonts w:hint="eastAsia" w:ascii="宋体" w:hAnsi="宋体" w:eastAsia="方正仿宋_GBK" w:cs="方正仿宋_GBK"/>
          <w:sz w:val="32"/>
          <w:szCs w:val="32"/>
        </w:rPr>
        <w:t>）对个人和家庭的补助（支出经济分类科目类级）：反映用于对个人和家庭的补助支出。</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五</w:t>
      </w:r>
      <w:r>
        <w:rPr>
          <w:rFonts w:hint="eastAsia" w:ascii="宋体" w:hAnsi="宋体" w:eastAsia="方正仿宋_GBK" w:cs="方正仿宋_GBK"/>
          <w:sz w:val="32"/>
          <w:szCs w:val="32"/>
        </w:rPr>
        <w:t>）其他资本性支出（支出经济分类科目类级）：反映非各级发展与改革部门集中安排的用于购置固定资产、战略性和应急性储备、土地和无形资产，以及构建基础设施、大型修缮和财政支持企业更新改造所发生的支出。</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七、决算公开联系方式</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本单位决算公开信息反馈和联系方式：</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hint="default" w:ascii="宋体" w:hAnsi="宋体" w:eastAsia="方正仿宋_GBK" w:cs="方正仿宋_GBK"/>
          <w:sz w:val="32"/>
          <w:szCs w:val="32"/>
          <w:lang w:val="en-US"/>
        </w:rPr>
      </w:pPr>
      <w:r>
        <w:rPr>
          <w:rFonts w:hint="eastAsia" w:ascii="宋体" w:hAnsi="宋体" w:eastAsia="方正仿宋_GBK" w:cs="方正仿宋_GBK"/>
          <w:sz w:val="32"/>
          <w:szCs w:val="32"/>
          <w:lang w:val="en-US" w:eastAsia="zh-CN"/>
        </w:rPr>
        <w:t>联系人：张爱林</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val="en-US" w:eastAsia="zh-CN"/>
        </w:rPr>
        <w:t>联系电话：023-47853081</w:t>
      </w:r>
    </w:p>
    <w:sectPr>
      <w:footerReference r:id="rId3" w:type="default"/>
      <w:footerReference r:id="rId4" w:type="even"/>
      <w:pgSz w:w="11906" w:h="16838"/>
      <w:pgMar w:top="1587" w:right="1474" w:bottom="1474" w:left="1587" w:header="851" w:footer="1474"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2000000000000000000"/>
    <w:charset w:val="86"/>
    <w:family w:val="script"/>
    <w:pitch w:val="default"/>
    <w:sig w:usb0="00000000" w:usb1="00000000" w:usb2="00000000" w:usb3="00000000" w:csb0="00040000" w:csb1="00000000"/>
  </w:font>
  <w:font w:name="方正黑体_GBK">
    <w:altName w:val="微软雅黑"/>
    <w:panose1 w:val="02000000000000000000"/>
    <w:charset w:val="86"/>
    <w:family w:val="script"/>
    <w:pitch w:val="default"/>
    <w:sig w:usb0="00000000" w:usb1="00000000" w:usb2="00000000" w:usb3="00000000" w:csb0="00040000" w:csb1="00000000"/>
  </w:font>
  <w:font w:name="方正楷体_GBK">
    <w:altName w:val="微软雅黑"/>
    <w:panose1 w:val="02000000000000000000"/>
    <w:charset w:val="86"/>
    <w:family w:val="script"/>
    <w:pitch w:val="default"/>
    <w:sig w:usb0="00000000" w:usb1="00000000" w:usb2="00000000" w:usb3="00000000" w:csb0="00040000" w:csb1="00000000"/>
  </w:font>
  <w:font w:name="方正仿宋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1</w:t>
    </w:r>
    <w:r>
      <w:rPr>
        <w:rFonts w:ascii="Times New Roman" w:hAnsi="Times New Roman"/>
        <w:sz w:val="28"/>
        <w:szCs w:val="28"/>
      </w:rPr>
      <w:fldChar w:fldCharType="end"/>
    </w:r>
    <w:r>
      <w:rPr>
        <w:rFonts w:ascii="Times New Roman" w:hAnsi="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2</w:t>
    </w:r>
    <w:r>
      <w:rPr>
        <w:rFonts w:ascii="Times New Roman" w:hAnsi="Times New Roman"/>
        <w:sz w:val="28"/>
        <w:szCs w:val="28"/>
      </w:rPr>
      <w:fldChar w:fldCharType="end"/>
    </w:r>
    <w:r>
      <w:rPr>
        <w:rFonts w:ascii="Times New Roman" w:hAnsi="Times New Roman"/>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15FB01"/>
    <w:multiLevelType w:val="singleLevel"/>
    <w:tmpl w:val="BE15FB01"/>
    <w:lvl w:ilvl="0" w:tentative="0">
      <w:start w:val="6"/>
      <w:numFmt w:val="chineseCounting"/>
      <w:suff w:val="nothing"/>
      <w:lvlText w:val="%1、"/>
      <w:lvlJc w:val="left"/>
      <w:rPr>
        <w:rFonts w:hint="eastAsia"/>
      </w:rPr>
    </w:lvl>
  </w:abstractNum>
  <w:abstractNum w:abstractNumId="1">
    <w:nsid w:val="BF018CFE"/>
    <w:multiLevelType w:val="singleLevel"/>
    <w:tmpl w:val="BF018CFE"/>
    <w:lvl w:ilvl="0" w:tentative="0">
      <w:start w:val="2"/>
      <w:numFmt w:val="chineseCounting"/>
      <w:suff w:val="nothing"/>
      <w:lvlText w:val="%1、"/>
      <w:lvlJc w:val="left"/>
      <w:rPr>
        <w:rFonts w:hint="eastAsia"/>
      </w:rPr>
    </w:lvl>
  </w:abstractNum>
  <w:abstractNum w:abstractNumId="2">
    <w:nsid w:val="C7DC43F0"/>
    <w:multiLevelType w:val="singleLevel"/>
    <w:tmpl w:val="C7DC43F0"/>
    <w:lvl w:ilvl="0" w:tentative="0">
      <w:start w:val="1"/>
      <w:numFmt w:val="decimal"/>
      <w:suff w:val="space"/>
      <w:lvlText w:val="%1."/>
      <w:lvlJc w:val="left"/>
    </w:lvl>
  </w:abstractNum>
  <w:abstractNum w:abstractNumId="3">
    <w:nsid w:val="170F8B3D"/>
    <w:multiLevelType w:val="singleLevel"/>
    <w:tmpl w:val="170F8B3D"/>
    <w:lvl w:ilvl="0" w:tentative="0">
      <w:start w:val="1"/>
      <w:numFmt w:val="decimal"/>
      <w:suff w:val="space"/>
      <w:lvlText w:val="%1."/>
      <w:lvlJc w:val="left"/>
    </w:lvl>
  </w:abstractNum>
  <w:abstractNum w:abstractNumId="4">
    <w:nsid w:val="36AF54E0"/>
    <w:multiLevelType w:val="singleLevel"/>
    <w:tmpl w:val="36AF54E0"/>
    <w:lvl w:ilvl="0" w:tentative="0">
      <w:start w:val="2"/>
      <w:numFmt w:val="decimal"/>
      <w:suff w:val="space"/>
      <w:lvlText w:val="%1."/>
      <w:lvlJc w:val="left"/>
    </w:lvl>
  </w:abstractNum>
  <w:abstractNum w:abstractNumId="5">
    <w:nsid w:val="6BB1AE55"/>
    <w:multiLevelType w:val="singleLevel"/>
    <w:tmpl w:val="6BB1AE55"/>
    <w:lvl w:ilvl="0" w:tentative="0">
      <w:start w:val="1"/>
      <w:numFmt w:val="chineseCounting"/>
      <w:suff w:val="nothing"/>
      <w:lvlText w:val="（%1）"/>
      <w:lvlJc w:val="left"/>
      <w:rPr>
        <w:rFonts w:hint="eastAsia"/>
      </w:rPr>
    </w:lvl>
  </w:abstractNum>
  <w:abstractNum w:abstractNumId="6">
    <w:nsid w:val="7B7C9C1F"/>
    <w:multiLevelType w:val="singleLevel"/>
    <w:tmpl w:val="7B7C9C1F"/>
    <w:lvl w:ilvl="0" w:tentative="0">
      <w:start w:val="1"/>
      <w:numFmt w:val="decimal"/>
      <w:suff w:val="nothing"/>
      <w:lvlText w:val="（%1）"/>
      <w:lvlJc w:val="left"/>
    </w:lvl>
  </w:abstractNum>
  <w:abstractNum w:abstractNumId="7">
    <w:nsid w:val="7FC6D37E"/>
    <w:multiLevelType w:val="singleLevel"/>
    <w:tmpl w:val="7FC6D37E"/>
    <w:lvl w:ilvl="0" w:tentative="0">
      <w:start w:val="2"/>
      <w:numFmt w:val="chineseCounting"/>
      <w:suff w:val="nothing"/>
      <w:lvlText w:val="（%1）"/>
      <w:lvlJc w:val="left"/>
      <w:rPr>
        <w:rFonts w:hint="eastAsia"/>
      </w:rPr>
    </w:lvl>
  </w:abstractNum>
  <w:num w:numId="1">
    <w:abstractNumId w:val="7"/>
  </w:num>
  <w:num w:numId="2">
    <w:abstractNumId w:val="1"/>
  </w:num>
  <w:num w:numId="3">
    <w:abstractNumId w:val="5"/>
  </w:num>
  <w:num w:numId="4">
    <w:abstractNumId w:val="3"/>
  </w:num>
  <w:num w:numId="5">
    <w:abstractNumId w:val="2"/>
  </w:num>
  <w:num w:numId="6">
    <w:abstractNumId w:val="6"/>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E12"/>
    <w:rsid w:val="0000051E"/>
    <w:rsid w:val="00001D33"/>
    <w:rsid w:val="000028C9"/>
    <w:rsid w:val="000155FC"/>
    <w:rsid w:val="000175BF"/>
    <w:rsid w:val="0001772A"/>
    <w:rsid w:val="00021540"/>
    <w:rsid w:val="00026535"/>
    <w:rsid w:val="00027CBA"/>
    <w:rsid w:val="00030BD4"/>
    <w:rsid w:val="0003485A"/>
    <w:rsid w:val="00034F55"/>
    <w:rsid w:val="000420EA"/>
    <w:rsid w:val="000427E2"/>
    <w:rsid w:val="00043D2E"/>
    <w:rsid w:val="00047C1B"/>
    <w:rsid w:val="00053EE9"/>
    <w:rsid w:val="00054D43"/>
    <w:rsid w:val="00054DCF"/>
    <w:rsid w:val="00054EB7"/>
    <w:rsid w:val="0005574C"/>
    <w:rsid w:val="0006070C"/>
    <w:rsid w:val="000639CF"/>
    <w:rsid w:val="00065200"/>
    <w:rsid w:val="00067A09"/>
    <w:rsid w:val="00073F65"/>
    <w:rsid w:val="000842FF"/>
    <w:rsid w:val="000A2CFA"/>
    <w:rsid w:val="000B27F1"/>
    <w:rsid w:val="000B3E51"/>
    <w:rsid w:val="000C15A3"/>
    <w:rsid w:val="000C7FE9"/>
    <w:rsid w:val="000D5121"/>
    <w:rsid w:val="000E0FCA"/>
    <w:rsid w:val="000E44AE"/>
    <w:rsid w:val="000E45ED"/>
    <w:rsid w:val="00100BE4"/>
    <w:rsid w:val="00102024"/>
    <w:rsid w:val="0011013E"/>
    <w:rsid w:val="0011190A"/>
    <w:rsid w:val="001136EF"/>
    <w:rsid w:val="00120138"/>
    <w:rsid w:val="00120AC5"/>
    <w:rsid w:val="001225CF"/>
    <w:rsid w:val="00122802"/>
    <w:rsid w:val="00122A47"/>
    <w:rsid w:val="00130AB7"/>
    <w:rsid w:val="001330DE"/>
    <w:rsid w:val="00134BAE"/>
    <w:rsid w:val="00141657"/>
    <w:rsid w:val="00141E8D"/>
    <w:rsid w:val="00146457"/>
    <w:rsid w:val="00147151"/>
    <w:rsid w:val="001570CA"/>
    <w:rsid w:val="001600A8"/>
    <w:rsid w:val="0016440F"/>
    <w:rsid w:val="00167113"/>
    <w:rsid w:val="00170AB6"/>
    <w:rsid w:val="001733C6"/>
    <w:rsid w:val="001760D0"/>
    <w:rsid w:val="00176E9E"/>
    <w:rsid w:val="00177282"/>
    <w:rsid w:val="0017754D"/>
    <w:rsid w:val="00177DDE"/>
    <w:rsid w:val="0018055E"/>
    <w:rsid w:val="0018417C"/>
    <w:rsid w:val="00186D29"/>
    <w:rsid w:val="00191922"/>
    <w:rsid w:val="00196B3B"/>
    <w:rsid w:val="001B4EBF"/>
    <w:rsid w:val="001D1F56"/>
    <w:rsid w:val="001D2188"/>
    <w:rsid w:val="001D2D97"/>
    <w:rsid w:val="001D39FC"/>
    <w:rsid w:val="001D469D"/>
    <w:rsid w:val="001D53A5"/>
    <w:rsid w:val="001E4338"/>
    <w:rsid w:val="001F35D7"/>
    <w:rsid w:val="001F6342"/>
    <w:rsid w:val="001F69D5"/>
    <w:rsid w:val="00203926"/>
    <w:rsid w:val="00206DF8"/>
    <w:rsid w:val="002074F7"/>
    <w:rsid w:val="002101FA"/>
    <w:rsid w:val="00213778"/>
    <w:rsid w:val="002148AC"/>
    <w:rsid w:val="00222B01"/>
    <w:rsid w:val="002247FE"/>
    <w:rsid w:val="00224B1E"/>
    <w:rsid w:val="00242193"/>
    <w:rsid w:val="00251D58"/>
    <w:rsid w:val="00252306"/>
    <w:rsid w:val="00255B14"/>
    <w:rsid w:val="00262C07"/>
    <w:rsid w:val="00271994"/>
    <w:rsid w:val="002726B1"/>
    <w:rsid w:val="00280812"/>
    <w:rsid w:val="002817B6"/>
    <w:rsid w:val="00283F54"/>
    <w:rsid w:val="00285CEF"/>
    <w:rsid w:val="00290EE3"/>
    <w:rsid w:val="002970E2"/>
    <w:rsid w:val="002A64DE"/>
    <w:rsid w:val="002B53DA"/>
    <w:rsid w:val="002B6DD1"/>
    <w:rsid w:val="002C1EC9"/>
    <w:rsid w:val="002C3116"/>
    <w:rsid w:val="002C7F37"/>
    <w:rsid w:val="002D0665"/>
    <w:rsid w:val="002D284A"/>
    <w:rsid w:val="002D60ED"/>
    <w:rsid w:val="002E2E5B"/>
    <w:rsid w:val="002F0CF5"/>
    <w:rsid w:val="002F5ADD"/>
    <w:rsid w:val="00302486"/>
    <w:rsid w:val="00314CB4"/>
    <w:rsid w:val="003178A1"/>
    <w:rsid w:val="00317958"/>
    <w:rsid w:val="003202F9"/>
    <w:rsid w:val="0032073C"/>
    <w:rsid w:val="00322ADF"/>
    <w:rsid w:val="00324B31"/>
    <w:rsid w:val="0033105A"/>
    <w:rsid w:val="00334EB0"/>
    <w:rsid w:val="0034207B"/>
    <w:rsid w:val="00344BF5"/>
    <w:rsid w:val="003450C0"/>
    <w:rsid w:val="00346494"/>
    <w:rsid w:val="00351DAC"/>
    <w:rsid w:val="00354334"/>
    <w:rsid w:val="00355F37"/>
    <w:rsid w:val="00362BC8"/>
    <w:rsid w:val="00363DA8"/>
    <w:rsid w:val="0036500E"/>
    <w:rsid w:val="00371DF3"/>
    <w:rsid w:val="0038006A"/>
    <w:rsid w:val="00391856"/>
    <w:rsid w:val="003961FF"/>
    <w:rsid w:val="00397B03"/>
    <w:rsid w:val="003B21E3"/>
    <w:rsid w:val="003B27FF"/>
    <w:rsid w:val="003B742A"/>
    <w:rsid w:val="003C12FB"/>
    <w:rsid w:val="003C40D4"/>
    <w:rsid w:val="003D081C"/>
    <w:rsid w:val="003D0BFF"/>
    <w:rsid w:val="003D6A6B"/>
    <w:rsid w:val="003F481B"/>
    <w:rsid w:val="003F48D1"/>
    <w:rsid w:val="00401C53"/>
    <w:rsid w:val="00404D9E"/>
    <w:rsid w:val="004135EA"/>
    <w:rsid w:val="00421B19"/>
    <w:rsid w:val="00422B0B"/>
    <w:rsid w:val="00422E47"/>
    <w:rsid w:val="00423211"/>
    <w:rsid w:val="004245F7"/>
    <w:rsid w:val="00426CE4"/>
    <w:rsid w:val="00426FEA"/>
    <w:rsid w:val="00431925"/>
    <w:rsid w:val="00432F81"/>
    <w:rsid w:val="00435247"/>
    <w:rsid w:val="004376FF"/>
    <w:rsid w:val="00441F50"/>
    <w:rsid w:val="004420F5"/>
    <w:rsid w:val="00446207"/>
    <w:rsid w:val="00460B50"/>
    <w:rsid w:val="00462A1B"/>
    <w:rsid w:val="0047102A"/>
    <w:rsid w:val="004767A0"/>
    <w:rsid w:val="00480634"/>
    <w:rsid w:val="00480DBB"/>
    <w:rsid w:val="0048149F"/>
    <w:rsid w:val="00490BD7"/>
    <w:rsid w:val="00492F86"/>
    <w:rsid w:val="00494936"/>
    <w:rsid w:val="004950DE"/>
    <w:rsid w:val="00495471"/>
    <w:rsid w:val="004A6381"/>
    <w:rsid w:val="004A7255"/>
    <w:rsid w:val="004B18A6"/>
    <w:rsid w:val="004B71FD"/>
    <w:rsid w:val="004B7C9D"/>
    <w:rsid w:val="004C041C"/>
    <w:rsid w:val="004C0428"/>
    <w:rsid w:val="004C1E46"/>
    <w:rsid w:val="004C2BBC"/>
    <w:rsid w:val="004D124F"/>
    <w:rsid w:val="004D20FC"/>
    <w:rsid w:val="004E451B"/>
    <w:rsid w:val="004E758F"/>
    <w:rsid w:val="004F0548"/>
    <w:rsid w:val="004F0AE7"/>
    <w:rsid w:val="004F4BAB"/>
    <w:rsid w:val="004F5255"/>
    <w:rsid w:val="00501E64"/>
    <w:rsid w:val="0050428A"/>
    <w:rsid w:val="0050454F"/>
    <w:rsid w:val="00505D0E"/>
    <w:rsid w:val="00533746"/>
    <w:rsid w:val="00546918"/>
    <w:rsid w:val="005507A2"/>
    <w:rsid w:val="00561338"/>
    <w:rsid w:val="00561975"/>
    <w:rsid w:val="00565117"/>
    <w:rsid w:val="0056679B"/>
    <w:rsid w:val="00573EC4"/>
    <w:rsid w:val="00583859"/>
    <w:rsid w:val="005901AA"/>
    <w:rsid w:val="005911E1"/>
    <w:rsid w:val="005A3116"/>
    <w:rsid w:val="005A5CCA"/>
    <w:rsid w:val="005A5FCF"/>
    <w:rsid w:val="005B100F"/>
    <w:rsid w:val="005B2D5D"/>
    <w:rsid w:val="005C38B2"/>
    <w:rsid w:val="005D16FF"/>
    <w:rsid w:val="005D2489"/>
    <w:rsid w:val="005D4003"/>
    <w:rsid w:val="005D4080"/>
    <w:rsid w:val="005D470C"/>
    <w:rsid w:val="005E1109"/>
    <w:rsid w:val="005E6EE3"/>
    <w:rsid w:val="005F0FF8"/>
    <w:rsid w:val="005F757D"/>
    <w:rsid w:val="00600C8F"/>
    <w:rsid w:val="00603082"/>
    <w:rsid w:val="00607E12"/>
    <w:rsid w:val="00611CA5"/>
    <w:rsid w:val="00620233"/>
    <w:rsid w:val="0062633A"/>
    <w:rsid w:val="00626848"/>
    <w:rsid w:val="0063222A"/>
    <w:rsid w:val="0063307E"/>
    <w:rsid w:val="00642C2A"/>
    <w:rsid w:val="006437B2"/>
    <w:rsid w:val="00664E32"/>
    <w:rsid w:val="0067039B"/>
    <w:rsid w:val="0068775B"/>
    <w:rsid w:val="00691CE0"/>
    <w:rsid w:val="00694365"/>
    <w:rsid w:val="006A2A65"/>
    <w:rsid w:val="006A566C"/>
    <w:rsid w:val="006A61DF"/>
    <w:rsid w:val="006B5DD7"/>
    <w:rsid w:val="006C1B21"/>
    <w:rsid w:val="006D014A"/>
    <w:rsid w:val="006D5786"/>
    <w:rsid w:val="006D6F59"/>
    <w:rsid w:val="006E1572"/>
    <w:rsid w:val="006E173D"/>
    <w:rsid w:val="006E538A"/>
    <w:rsid w:val="006F0EDC"/>
    <w:rsid w:val="006F3611"/>
    <w:rsid w:val="00701258"/>
    <w:rsid w:val="007036CD"/>
    <w:rsid w:val="00705A2B"/>
    <w:rsid w:val="00716862"/>
    <w:rsid w:val="007254E0"/>
    <w:rsid w:val="007278AE"/>
    <w:rsid w:val="00730852"/>
    <w:rsid w:val="00735715"/>
    <w:rsid w:val="00737BE2"/>
    <w:rsid w:val="00744FBD"/>
    <w:rsid w:val="007450D8"/>
    <w:rsid w:val="00755DA9"/>
    <w:rsid w:val="00755FDA"/>
    <w:rsid w:val="00757640"/>
    <w:rsid w:val="00761826"/>
    <w:rsid w:val="007654CC"/>
    <w:rsid w:val="00767D9E"/>
    <w:rsid w:val="00777274"/>
    <w:rsid w:val="00777FB0"/>
    <w:rsid w:val="0078049C"/>
    <w:rsid w:val="00784541"/>
    <w:rsid w:val="007874D6"/>
    <w:rsid w:val="007A3314"/>
    <w:rsid w:val="007A48F4"/>
    <w:rsid w:val="007A4C8D"/>
    <w:rsid w:val="007B0EC6"/>
    <w:rsid w:val="007B2F96"/>
    <w:rsid w:val="007C1250"/>
    <w:rsid w:val="007D00FC"/>
    <w:rsid w:val="007D0966"/>
    <w:rsid w:val="007D20F3"/>
    <w:rsid w:val="007D4338"/>
    <w:rsid w:val="007D6BFC"/>
    <w:rsid w:val="007D6CD1"/>
    <w:rsid w:val="007E2E16"/>
    <w:rsid w:val="007E3BD8"/>
    <w:rsid w:val="007E57F2"/>
    <w:rsid w:val="007E653A"/>
    <w:rsid w:val="007F3519"/>
    <w:rsid w:val="0080668B"/>
    <w:rsid w:val="0081318A"/>
    <w:rsid w:val="00814C3C"/>
    <w:rsid w:val="00817D1B"/>
    <w:rsid w:val="0082495C"/>
    <w:rsid w:val="0082609A"/>
    <w:rsid w:val="0083632B"/>
    <w:rsid w:val="00841059"/>
    <w:rsid w:val="00841718"/>
    <w:rsid w:val="00851C0B"/>
    <w:rsid w:val="0085432D"/>
    <w:rsid w:val="00855AB4"/>
    <w:rsid w:val="008561F1"/>
    <w:rsid w:val="0086134B"/>
    <w:rsid w:val="00864275"/>
    <w:rsid w:val="00872593"/>
    <w:rsid w:val="008846E9"/>
    <w:rsid w:val="00884DD1"/>
    <w:rsid w:val="00890399"/>
    <w:rsid w:val="00895F15"/>
    <w:rsid w:val="008A0636"/>
    <w:rsid w:val="008A2A01"/>
    <w:rsid w:val="008A38D6"/>
    <w:rsid w:val="008A3D1E"/>
    <w:rsid w:val="008A43C6"/>
    <w:rsid w:val="008A49F0"/>
    <w:rsid w:val="008B7D00"/>
    <w:rsid w:val="008C2879"/>
    <w:rsid w:val="008C6EB5"/>
    <w:rsid w:val="008D2EB9"/>
    <w:rsid w:val="008D41BD"/>
    <w:rsid w:val="008D4D00"/>
    <w:rsid w:val="008E7C26"/>
    <w:rsid w:val="008F2607"/>
    <w:rsid w:val="008F3774"/>
    <w:rsid w:val="0090051E"/>
    <w:rsid w:val="009061F1"/>
    <w:rsid w:val="00910307"/>
    <w:rsid w:val="0091131C"/>
    <w:rsid w:val="00911FA3"/>
    <w:rsid w:val="00917F50"/>
    <w:rsid w:val="0092046E"/>
    <w:rsid w:val="00926B68"/>
    <w:rsid w:val="009326D4"/>
    <w:rsid w:val="00942960"/>
    <w:rsid w:val="00952960"/>
    <w:rsid w:val="009571BF"/>
    <w:rsid w:val="0096181A"/>
    <w:rsid w:val="00970F5C"/>
    <w:rsid w:val="00980C64"/>
    <w:rsid w:val="00981617"/>
    <w:rsid w:val="00984F70"/>
    <w:rsid w:val="00995B9A"/>
    <w:rsid w:val="00995F22"/>
    <w:rsid w:val="00996706"/>
    <w:rsid w:val="0099789A"/>
    <w:rsid w:val="009A01A1"/>
    <w:rsid w:val="009A0F73"/>
    <w:rsid w:val="009A38B0"/>
    <w:rsid w:val="009A7B10"/>
    <w:rsid w:val="009B186D"/>
    <w:rsid w:val="009B46C1"/>
    <w:rsid w:val="009C7673"/>
    <w:rsid w:val="009D21EA"/>
    <w:rsid w:val="009E0942"/>
    <w:rsid w:val="009E153F"/>
    <w:rsid w:val="009F0A76"/>
    <w:rsid w:val="009F1C2B"/>
    <w:rsid w:val="009F42A2"/>
    <w:rsid w:val="009F782A"/>
    <w:rsid w:val="009F7F6C"/>
    <w:rsid w:val="00A04BBF"/>
    <w:rsid w:val="00A05764"/>
    <w:rsid w:val="00A05FE8"/>
    <w:rsid w:val="00A1783A"/>
    <w:rsid w:val="00A259D6"/>
    <w:rsid w:val="00A268FC"/>
    <w:rsid w:val="00A3654D"/>
    <w:rsid w:val="00A44FA7"/>
    <w:rsid w:val="00A4608B"/>
    <w:rsid w:val="00A55460"/>
    <w:rsid w:val="00A55D58"/>
    <w:rsid w:val="00A5629A"/>
    <w:rsid w:val="00A5637A"/>
    <w:rsid w:val="00A629AC"/>
    <w:rsid w:val="00A66921"/>
    <w:rsid w:val="00A67C22"/>
    <w:rsid w:val="00A722FB"/>
    <w:rsid w:val="00A73342"/>
    <w:rsid w:val="00A75E77"/>
    <w:rsid w:val="00A7769A"/>
    <w:rsid w:val="00A95599"/>
    <w:rsid w:val="00A96D56"/>
    <w:rsid w:val="00A974C1"/>
    <w:rsid w:val="00AA46CF"/>
    <w:rsid w:val="00AA5AB0"/>
    <w:rsid w:val="00AB0D59"/>
    <w:rsid w:val="00AB323C"/>
    <w:rsid w:val="00AB3AAE"/>
    <w:rsid w:val="00AB75A6"/>
    <w:rsid w:val="00AB7A64"/>
    <w:rsid w:val="00AC1FF6"/>
    <w:rsid w:val="00AC5A32"/>
    <w:rsid w:val="00AC6807"/>
    <w:rsid w:val="00AD31B0"/>
    <w:rsid w:val="00AD43B9"/>
    <w:rsid w:val="00AD4486"/>
    <w:rsid w:val="00AD65C3"/>
    <w:rsid w:val="00AD7D0A"/>
    <w:rsid w:val="00AE2416"/>
    <w:rsid w:val="00AE2C0B"/>
    <w:rsid w:val="00AE76C2"/>
    <w:rsid w:val="00AF0307"/>
    <w:rsid w:val="00B0093A"/>
    <w:rsid w:val="00B057E0"/>
    <w:rsid w:val="00B07C2C"/>
    <w:rsid w:val="00B12E00"/>
    <w:rsid w:val="00B14F8C"/>
    <w:rsid w:val="00B15181"/>
    <w:rsid w:val="00B211A3"/>
    <w:rsid w:val="00B23783"/>
    <w:rsid w:val="00B316BA"/>
    <w:rsid w:val="00B41BE8"/>
    <w:rsid w:val="00B42D0C"/>
    <w:rsid w:val="00B463CF"/>
    <w:rsid w:val="00B54FA4"/>
    <w:rsid w:val="00B60D03"/>
    <w:rsid w:val="00B67091"/>
    <w:rsid w:val="00B81DAC"/>
    <w:rsid w:val="00B822EA"/>
    <w:rsid w:val="00B922A2"/>
    <w:rsid w:val="00B93851"/>
    <w:rsid w:val="00B94043"/>
    <w:rsid w:val="00B96B08"/>
    <w:rsid w:val="00BA33C7"/>
    <w:rsid w:val="00BA43B4"/>
    <w:rsid w:val="00BA43B8"/>
    <w:rsid w:val="00BA5FD9"/>
    <w:rsid w:val="00BB36E3"/>
    <w:rsid w:val="00BB4092"/>
    <w:rsid w:val="00BB771B"/>
    <w:rsid w:val="00BC4C57"/>
    <w:rsid w:val="00BC6593"/>
    <w:rsid w:val="00BC6C2F"/>
    <w:rsid w:val="00BD0E0D"/>
    <w:rsid w:val="00BD4AE7"/>
    <w:rsid w:val="00BD5A36"/>
    <w:rsid w:val="00BE14B9"/>
    <w:rsid w:val="00BE1EF6"/>
    <w:rsid w:val="00BE3720"/>
    <w:rsid w:val="00BE4944"/>
    <w:rsid w:val="00BE6245"/>
    <w:rsid w:val="00BF2DDD"/>
    <w:rsid w:val="00BF4EDC"/>
    <w:rsid w:val="00BF6572"/>
    <w:rsid w:val="00C0316B"/>
    <w:rsid w:val="00C10901"/>
    <w:rsid w:val="00C11001"/>
    <w:rsid w:val="00C20076"/>
    <w:rsid w:val="00C23D12"/>
    <w:rsid w:val="00C31EF7"/>
    <w:rsid w:val="00C3206D"/>
    <w:rsid w:val="00C33307"/>
    <w:rsid w:val="00C3371D"/>
    <w:rsid w:val="00C41417"/>
    <w:rsid w:val="00C4219E"/>
    <w:rsid w:val="00C4238E"/>
    <w:rsid w:val="00C4258A"/>
    <w:rsid w:val="00C45DE6"/>
    <w:rsid w:val="00C468C6"/>
    <w:rsid w:val="00C61402"/>
    <w:rsid w:val="00C66C12"/>
    <w:rsid w:val="00C66C81"/>
    <w:rsid w:val="00C7551A"/>
    <w:rsid w:val="00C811D2"/>
    <w:rsid w:val="00C84B8C"/>
    <w:rsid w:val="00C86109"/>
    <w:rsid w:val="00C93F35"/>
    <w:rsid w:val="00C95F82"/>
    <w:rsid w:val="00C97EAF"/>
    <w:rsid w:val="00CA01ED"/>
    <w:rsid w:val="00CA072F"/>
    <w:rsid w:val="00CB6C8A"/>
    <w:rsid w:val="00CB71B8"/>
    <w:rsid w:val="00CC29D1"/>
    <w:rsid w:val="00CC6E15"/>
    <w:rsid w:val="00CD2BD0"/>
    <w:rsid w:val="00CD341A"/>
    <w:rsid w:val="00CD7B97"/>
    <w:rsid w:val="00CE4584"/>
    <w:rsid w:val="00CF2F76"/>
    <w:rsid w:val="00CF3987"/>
    <w:rsid w:val="00CF487D"/>
    <w:rsid w:val="00D01565"/>
    <w:rsid w:val="00D02C02"/>
    <w:rsid w:val="00D03EFD"/>
    <w:rsid w:val="00D04855"/>
    <w:rsid w:val="00D06AE0"/>
    <w:rsid w:val="00D1341C"/>
    <w:rsid w:val="00D1398B"/>
    <w:rsid w:val="00D13DA7"/>
    <w:rsid w:val="00D162A8"/>
    <w:rsid w:val="00D20046"/>
    <w:rsid w:val="00D21A4A"/>
    <w:rsid w:val="00D3017F"/>
    <w:rsid w:val="00D311F3"/>
    <w:rsid w:val="00D3507F"/>
    <w:rsid w:val="00D35A65"/>
    <w:rsid w:val="00D363D0"/>
    <w:rsid w:val="00D36CE6"/>
    <w:rsid w:val="00D41FA5"/>
    <w:rsid w:val="00D4306E"/>
    <w:rsid w:val="00D44633"/>
    <w:rsid w:val="00D4526D"/>
    <w:rsid w:val="00D479F4"/>
    <w:rsid w:val="00D53260"/>
    <w:rsid w:val="00D556D1"/>
    <w:rsid w:val="00D6004F"/>
    <w:rsid w:val="00D669F9"/>
    <w:rsid w:val="00D706B6"/>
    <w:rsid w:val="00D811F9"/>
    <w:rsid w:val="00DA0593"/>
    <w:rsid w:val="00DA3692"/>
    <w:rsid w:val="00DB79E0"/>
    <w:rsid w:val="00DD14B2"/>
    <w:rsid w:val="00DD6BBC"/>
    <w:rsid w:val="00DE0EDD"/>
    <w:rsid w:val="00DE3005"/>
    <w:rsid w:val="00DE735E"/>
    <w:rsid w:val="00DF32B3"/>
    <w:rsid w:val="00DF3B9C"/>
    <w:rsid w:val="00DF5874"/>
    <w:rsid w:val="00DF5A8E"/>
    <w:rsid w:val="00E115ED"/>
    <w:rsid w:val="00E20FA3"/>
    <w:rsid w:val="00E24893"/>
    <w:rsid w:val="00E46647"/>
    <w:rsid w:val="00E4699A"/>
    <w:rsid w:val="00E5411A"/>
    <w:rsid w:val="00E6183C"/>
    <w:rsid w:val="00E64255"/>
    <w:rsid w:val="00E6527B"/>
    <w:rsid w:val="00E70C3D"/>
    <w:rsid w:val="00E71DE9"/>
    <w:rsid w:val="00E735E7"/>
    <w:rsid w:val="00E77357"/>
    <w:rsid w:val="00E805E8"/>
    <w:rsid w:val="00E8343D"/>
    <w:rsid w:val="00E9151E"/>
    <w:rsid w:val="00E93825"/>
    <w:rsid w:val="00E950F2"/>
    <w:rsid w:val="00E97BF1"/>
    <w:rsid w:val="00EA2F62"/>
    <w:rsid w:val="00EA5AF8"/>
    <w:rsid w:val="00EB25A6"/>
    <w:rsid w:val="00EB5255"/>
    <w:rsid w:val="00EC12FF"/>
    <w:rsid w:val="00EC5F49"/>
    <w:rsid w:val="00ED45DD"/>
    <w:rsid w:val="00ED5569"/>
    <w:rsid w:val="00EE3026"/>
    <w:rsid w:val="00EE3420"/>
    <w:rsid w:val="00EE7078"/>
    <w:rsid w:val="00EF5946"/>
    <w:rsid w:val="00EF72EA"/>
    <w:rsid w:val="00F04C79"/>
    <w:rsid w:val="00F11494"/>
    <w:rsid w:val="00F1390F"/>
    <w:rsid w:val="00F167C8"/>
    <w:rsid w:val="00F169A5"/>
    <w:rsid w:val="00F21E28"/>
    <w:rsid w:val="00F258A9"/>
    <w:rsid w:val="00F27C63"/>
    <w:rsid w:val="00F328C2"/>
    <w:rsid w:val="00F41CB0"/>
    <w:rsid w:val="00F424BF"/>
    <w:rsid w:val="00F43A19"/>
    <w:rsid w:val="00F44036"/>
    <w:rsid w:val="00F50C39"/>
    <w:rsid w:val="00F6171D"/>
    <w:rsid w:val="00F62963"/>
    <w:rsid w:val="00F62E68"/>
    <w:rsid w:val="00F7292B"/>
    <w:rsid w:val="00F72D44"/>
    <w:rsid w:val="00F8320C"/>
    <w:rsid w:val="00F86344"/>
    <w:rsid w:val="00F969D6"/>
    <w:rsid w:val="00F96D6E"/>
    <w:rsid w:val="00F96E01"/>
    <w:rsid w:val="00FA0345"/>
    <w:rsid w:val="00FB0A36"/>
    <w:rsid w:val="00FB0D1C"/>
    <w:rsid w:val="00FB2583"/>
    <w:rsid w:val="00FB5337"/>
    <w:rsid w:val="00FB5BA5"/>
    <w:rsid w:val="00FC4290"/>
    <w:rsid w:val="00FD5C48"/>
    <w:rsid w:val="00FD6A34"/>
    <w:rsid w:val="00FE24BC"/>
    <w:rsid w:val="00FE3A24"/>
    <w:rsid w:val="00FF02D5"/>
    <w:rsid w:val="0127533C"/>
    <w:rsid w:val="01626E33"/>
    <w:rsid w:val="017A2F9F"/>
    <w:rsid w:val="01B67107"/>
    <w:rsid w:val="020F6D27"/>
    <w:rsid w:val="021138F7"/>
    <w:rsid w:val="02217C74"/>
    <w:rsid w:val="02353A89"/>
    <w:rsid w:val="0237501D"/>
    <w:rsid w:val="02400DD9"/>
    <w:rsid w:val="02523A83"/>
    <w:rsid w:val="026359B2"/>
    <w:rsid w:val="026B7642"/>
    <w:rsid w:val="02AC542A"/>
    <w:rsid w:val="03255A72"/>
    <w:rsid w:val="037E6278"/>
    <w:rsid w:val="038E49EB"/>
    <w:rsid w:val="03A45696"/>
    <w:rsid w:val="03B44E81"/>
    <w:rsid w:val="03B74B35"/>
    <w:rsid w:val="03D862B6"/>
    <w:rsid w:val="03E5328D"/>
    <w:rsid w:val="03FB4D0B"/>
    <w:rsid w:val="045B484E"/>
    <w:rsid w:val="047841EE"/>
    <w:rsid w:val="04A56073"/>
    <w:rsid w:val="04AD2B7D"/>
    <w:rsid w:val="04E841EF"/>
    <w:rsid w:val="05081AD1"/>
    <w:rsid w:val="052E6699"/>
    <w:rsid w:val="055204AE"/>
    <w:rsid w:val="057728DC"/>
    <w:rsid w:val="05912D04"/>
    <w:rsid w:val="05C1448E"/>
    <w:rsid w:val="05C1761D"/>
    <w:rsid w:val="05CB413A"/>
    <w:rsid w:val="05D90398"/>
    <w:rsid w:val="05E52FAD"/>
    <w:rsid w:val="05EC26B0"/>
    <w:rsid w:val="060A24AD"/>
    <w:rsid w:val="064424ED"/>
    <w:rsid w:val="06BF3451"/>
    <w:rsid w:val="06F3181D"/>
    <w:rsid w:val="07640956"/>
    <w:rsid w:val="07A34544"/>
    <w:rsid w:val="08190B33"/>
    <w:rsid w:val="083E2F6B"/>
    <w:rsid w:val="08C10882"/>
    <w:rsid w:val="08C7668D"/>
    <w:rsid w:val="08CC205B"/>
    <w:rsid w:val="08DB1609"/>
    <w:rsid w:val="09327D67"/>
    <w:rsid w:val="097859D4"/>
    <w:rsid w:val="09822D0F"/>
    <w:rsid w:val="09823D8A"/>
    <w:rsid w:val="09C9617E"/>
    <w:rsid w:val="0A280DE4"/>
    <w:rsid w:val="0A2D21B2"/>
    <w:rsid w:val="0A751EDD"/>
    <w:rsid w:val="0AAF0151"/>
    <w:rsid w:val="0AB177F2"/>
    <w:rsid w:val="0AB319EF"/>
    <w:rsid w:val="0AEC3562"/>
    <w:rsid w:val="0B3568A8"/>
    <w:rsid w:val="0B447CC4"/>
    <w:rsid w:val="0B5C19F8"/>
    <w:rsid w:val="0B6B4922"/>
    <w:rsid w:val="0B840250"/>
    <w:rsid w:val="0BBB1C03"/>
    <w:rsid w:val="0BBD1CFB"/>
    <w:rsid w:val="0BC63C92"/>
    <w:rsid w:val="0BCF17F7"/>
    <w:rsid w:val="0C1A7343"/>
    <w:rsid w:val="0C385DD6"/>
    <w:rsid w:val="0C3C56A3"/>
    <w:rsid w:val="0C3E1C6B"/>
    <w:rsid w:val="0C550884"/>
    <w:rsid w:val="0C790A16"/>
    <w:rsid w:val="0C8D0553"/>
    <w:rsid w:val="0C994F52"/>
    <w:rsid w:val="0CB6160D"/>
    <w:rsid w:val="0D4A231C"/>
    <w:rsid w:val="0DBA0DC1"/>
    <w:rsid w:val="0DCE605A"/>
    <w:rsid w:val="0DD203DE"/>
    <w:rsid w:val="0E5158C5"/>
    <w:rsid w:val="0E772D33"/>
    <w:rsid w:val="0EA66A76"/>
    <w:rsid w:val="0EAD6E68"/>
    <w:rsid w:val="0EB15612"/>
    <w:rsid w:val="0ECF621B"/>
    <w:rsid w:val="0EFB5876"/>
    <w:rsid w:val="0F107EE3"/>
    <w:rsid w:val="0F3B4594"/>
    <w:rsid w:val="0F4603E9"/>
    <w:rsid w:val="0F5D6174"/>
    <w:rsid w:val="0F8109EA"/>
    <w:rsid w:val="0F931176"/>
    <w:rsid w:val="0FC0132B"/>
    <w:rsid w:val="0FCF39BD"/>
    <w:rsid w:val="100A1A0C"/>
    <w:rsid w:val="1016071E"/>
    <w:rsid w:val="10325A41"/>
    <w:rsid w:val="10656E2F"/>
    <w:rsid w:val="1084224C"/>
    <w:rsid w:val="10DB232E"/>
    <w:rsid w:val="1113718A"/>
    <w:rsid w:val="112076B2"/>
    <w:rsid w:val="114859F3"/>
    <w:rsid w:val="11DD1A47"/>
    <w:rsid w:val="11EE155E"/>
    <w:rsid w:val="120B475C"/>
    <w:rsid w:val="12554B29"/>
    <w:rsid w:val="1299771C"/>
    <w:rsid w:val="12AD3E7D"/>
    <w:rsid w:val="12C42FA0"/>
    <w:rsid w:val="12D35C61"/>
    <w:rsid w:val="12E0359D"/>
    <w:rsid w:val="12EA2F1A"/>
    <w:rsid w:val="130558D9"/>
    <w:rsid w:val="13424E21"/>
    <w:rsid w:val="134F0723"/>
    <w:rsid w:val="137F545A"/>
    <w:rsid w:val="13801D6F"/>
    <w:rsid w:val="13841A7B"/>
    <w:rsid w:val="138B759A"/>
    <w:rsid w:val="13B16CE7"/>
    <w:rsid w:val="13F46315"/>
    <w:rsid w:val="140D076E"/>
    <w:rsid w:val="140E2407"/>
    <w:rsid w:val="14101C60"/>
    <w:rsid w:val="141F1F10"/>
    <w:rsid w:val="14611714"/>
    <w:rsid w:val="14757D15"/>
    <w:rsid w:val="149C34F4"/>
    <w:rsid w:val="14CF05AD"/>
    <w:rsid w:val="14CF3275"/>
    <w:rsid w:val="14E8356B"/>
    <w:rsid w:val="14EB3F48"/>
    <w:rsid w:val="14FD41CB"/>
    <w:rsid w:val="15546C2C"/>
    <w:rsid w:val="1582093B"/>
    <w:rsid w:val="158240BB"/>
    <w:rsid w:val="160D5A33"/>
    <w:rsid w:val="160E7D98"/>
    <w:rsid w:val="164B77DE"/>
    <w:rsid w:val="164E5E0B"/>
    <w:rsid w:val="17532A55"/>
    <w:rsid w:val="17932EDC"/>
    <w:rsid w:val="17A36DDB"/>
    <w:rsid w:val="17A532AB"/>
    <w:rsid w:val="17EC4792"/>
    <w:rsid w:val="180B07AE"/>
    <w:rsid w:val="181A2360"/>
    <w:rsid w:val="181F4708"/>
    <w:rsid w:val="18221462"/>
    <w:rsid w:val="184F1121"/>
    <w:rsid w:val="185B2A86"/>
    <w:rsid w:val="1876405C"/>
    <w:rsid w:val="188102A5"/>
    <w:rsid w:val="18C66253"/>
    <w:rsid w:val="18CD5743"/>
    <w:rsid w:val="197B50D2"/>
    <w:rsid w:val="19926875"/>
    <w:rsid w:val="19AB43AE"/>
    <w:rsid w:val="1A297DDD"/>
    <w:rsid w:val="1A7919B9"/>
    <w:rsid w:val="1B1350D9"/>
    <w:rsid w:val="1B9A7C0E"/>
    <w:rsid w:val="1B9B203B"/>
    <w:rsid w:val="1BF14125"/>
    <w:rsid w:val="1BFD1CC9"/>
    <w:rsid w:val="1C96385A"/>
    <w:rsid w:val="1CE92F5C"/>
    <w:rsid w:val="1D437979"/>
    <w:rsid w:val="1D4708B1"/>
    <w:rsid w:val="1D656164"/>
    <w:rsid w:val="1E0C16EA"/>
    <w:rsid w:val="1E8900BD"/>
    <w:rsid w:val="1E9046DD"/>
    <w:rsid w:val="1EB51D36"/>
    <w:rsid w:val="1ECB269E"/>
    <w:rsid w:val="1EE66C3C"/>
    <w:rsid w:val="1EF96BEA"/>
    <w:rsid w:val="1F062C30"/>
    <w:rsid w:val="1F116510"/>
    <w:rsid w:val="1F1C3B7B"/>
    <w:rsid w:val="1F3E1D77"/>
    <w:rsid w:val="1F9D6372"/>
    <w:rsid w:val="1FC85AE5"/>
    <w:rsid w:val="200551AB"/>
    <w:rsid w:val="205932DE"/>
    <w:rsid w:val="20A03801"/>
    <w:rsid w:val="20BC5FF2"/>
    <w:rsid w:val="20D02EA3"/>
    <w:rsid w:val="20D67D8D"/>
    <w:rsid w:val="21676C37"/>
    <w:rsid w:val="21701F90"/>
    <w:rsid w:val="219D4F8D"/>
    <w:rsid w:val="222807B1"/>
    <w:rsid w:val="22312968"/>
    <w:rsid w:val="22435D4E"/>
    <w:rsid w:val="2245419D"/>
    <w:rsid w:val="22C40301"/>
    <w:rsid w:val="22FE317D"/>
    <w:rsid w:val="237704D4"/>
    <w:rsid w:val="23891077"/>
    <w:rsid w:val="23A1558C"/>
    <w:rsid w:val="23BD2034"/>
    <w:rsid w:val="23BE50B1"/>
    <w:rsid w:val="23D902C0"/>
    <w:rsid w:val="2422161E"/>
    <w:rsid w:val="246E6851"/>
    <w:rsid w:val="24942E5E"/>
    <w:rsid w:val="24954F65"/>
    <w:rsid w:val="24C7511E"/>
    <w:rsid w:val="25207829"/>
    <w:rsid w:val="257F04AC"/>
    <w:rsid w:val="25E20F82"/>
    <w:rsid w:val="25E53B95"/>
    <w:rsid w:val="25EB17AB"/>
    <w:rsid w:val="25FF1317"/>
    <w:rsid w:val="26487E8F"/>
    <w:rsid w:val="266362EA"/>
    <w:rsid w:val="26791D53"/>
    <w:rsid w:val="268A5041"/>
    <w:rsid w:val="269A59A1"/>
    <w:rsid w:val="26D96305"/>
    <w:rsid w:val="26E96527"/>
    <w:rsid w:val="27293F76"/>
    <w:rsid w:val="275642B6"/>
    <w:rsid w:val="279369D8"/>
    <w:rsid w:val="2797346E"/>
    <w:rsid w:val="27984D8A"/>
    <w:rsid w:val="27CC625C"/>
    <w:rsid w:val="27FC632B"/>
    <w:rsid w:val="27FF1758"/>
    <w:rsid w:val="28026E78"/>
    <w:rsid w:val="28100029"/>
    <w:rsid w:val="28406D20"/>
    <w:rsid w:val="285745A9"/>
    <w:rsid w:val="28604488"/>
    <w:rsid w:val="287F60B2"/>
    <w:rsid w:val="28AF15F0"/>
    <w:rsid w:val="29696297"/>
    <w:rsid w:val="297011FE"/>
    <w:rsid w:val="29982084"/>
    <w:rsid w:val="29CA2459"/>
    <w:rsid w:val="29CA4207"/>
    <w:rsid w:val="29F90436"/>
    <w:rsid w:val="29FF1B5A"/>
    <w:rsid w:val="2A254E63"/>
    <w:rsid w:val="2A275D31"/>
    <w:rsid w:val="2A30050E"/>
    <w:rsid w:val="2A695ED5"/>
    <w:rsid w:val="2AE168E0"/>
    <w:rsid w:val="2B2F33CE"/>
    <w:rsid w:val="2B762790"/>
    <w:rsid w:val="2BAC2B14"/>
    <w:rsid w:val="2BC5737C"/>
    <w:rsid w:val="2BC73FBA"/>
    <w:rsid w:val="2BFF60E5"/>
    <w:rsid w:val="2C0042E3"/>
    <w:rsid w:val="2C0D59AC"/>
    <w:rsid w:val="2C2D5D74"/>
    <w:rsid w:val="2C334F61"/>
    <w:rsid w:val="2C3D20DB"/>
    <w:rsid w:val="2C71221F"/>
    <w:rsid w:val="2C715093"/>
    <w:rsid w:val="2CCA4D7E"/>
    <w:rsid w:val="2CF75D34"/>
    <w:rsid w:val="2DDB0952"/>
    <w:rsid w:val="2E0221C2"/>
    <w:rsid w:val="2E0C46C8"/>
    <w:rsid w:val="2E291E44"/>
    <w:rsid w:val="2E2A738E"/>
    <w:rsid w:val="2E4A0CBE"/>
    <w:rsid w:val="2EAB46F5"/>
    <w:rsid w:val="2EC6420A"/>
    <w:rsid w:val="2EF3059D"/>
    <w:rsid w:val="2EFE6E2D"/>
    <w:rsid w:val="2F0B5753"/>
    <w:rsid w:val="2F1C3DF2"/>
    <w:rsid w:val="2F2C0A85"/>
    <w:rsid w:val="2F414FFF"/>
    <w:rsid w:val="2F5B427F"/>
    <w:rsid w:val="2F8D5831"/>
    <w:rsid w:val="2FA6445E"/>
    <w:rsid w:val="2FAC25DB"/>
    <w:rsid w:val="2FAF3097"/>
    <w:rsid w:val="2FB617C0"/>
    <w:rsid w:val="2FE04785"/>
    <w:rsid w:val="2FE34275"/>
    <w:rsid w:val="2FEA115F"/>
    <w:rsid w:val="300C6664"/>
    <w:rsid w:val="30450B4E"/>
    <w:rsid w:val="30465275"/>
    <w:rsid w:val="31061102"/>
    <w:rsid w:val="31A04CAD"/>
    <w:rsid w:val="31A70211"/>
    <w:rsid w:val="31B15053"/>
    <w:rsid w:val="3200589D"/>
    <w:rsid w:val="320A79AF"/>
    <w:rsid w:val="3256082B"/>
    <w:rsid w:val="327D7E69"/>
    <w:rsid w:val="32826152"/>
    <w:rsid w:val="32E60304"/>
    <w:rsid w:val="32EC51EE"/>
    <w:rsid w:val="33116010"/>
    <w:rsid w:val="331546C4"/>
    <w:rsid w:val="33353039"/>
    <w:rsid w:val="3353526D"/>
    <w:rsid w:val="33656AA9"/>
    <w:rsid w:val="33782EB9"/>
    <w:rsid w:val="33A16094"/>
    <w:rsid w:val="33E6234B"/>
    <w:rsid w:val="33F80618"/>
    <w:rsid w:val="340E49EF"/>
    <w:rsid w:val="3465554A"/>
    <w:rsid w:val="34983DE3"/>
    <w:rsid w:val="34A64D07"/>
    <w:rsid w:val="34B10AAC"/>
    <w:rsid w:val="34BF6C35"/>
    <w:rsid w:val="34F5635F"/>
    <w:rsid w:val="354811BC"/>
    <w:rsid w:val="35521A2B"/>
    <w:rsid w:val="355E472E"/>
    <w:rsid w:val="35786D81"/>
    <w:rsid w:val="359E40E8"/>
    <w:rsid w:val="35B115EA"/>
    <w:rsid w:val="35B6074D"/>
    <w:rsid w:val="35C22B6B"/>
    <w:rsid w:val="35DC154A"/>
    <w:rsid w:val="35EA737B"/>
    <w:rsid w:val="36386888"/>
    <w:rsid w:val="36706ADF"/>
    <w:rsid w:val="367F3D26"/>
    <w:rsid w:val="36833C5C"/>
    <w:rsid w:val="36A129F2"/>
    <w:rsid w:val="36B3095D"/>
    <w:rsid w:val="36D22597"/>
    <w:rsid w:val="36E36908"/>
    <w:rsid w:val="371719A6"/>
    <w:rsid w:val="371E35B2"/>
    <w:rsid w:val="37564D03"/>
    <w:rsid w:val="37751EC2"/>
    <w:rsid w:val="37C77C1E"/>
    <w:rsid w:val="388010B8"/>
    <w:rsid w:val="38FA6DBA"/>
    <w:rsid w:val="390E5CB1"/>
    <w:rsid w:val="39474657"/>
    <w:rsid w:val="394E2214"/>
    <w:rsid w:val="399860D0"/>
    <w:rsid w:val="399A1E48"/>
    <w:rsid w:val="39A10C32"/>
    <w:rsid w:val="39CC7911"/>
    <w:rsid w:val="39E44839"/>
    <w:rsid w:val="3A457B72"/>
    <w:rsid w:val="3A4A2286"/>
    <w:rsid w:val="3AA6726B"/>
    <w:rsid w:val="3ADB2718"/>
    <w:rsid w:val="3AE82075"/>
    <w:rsid w:val="3AE8273F"/>
    <w:rsid w:val="3B017FBE"/>
    <w:rsid w:val="3B307A72"/>
    <w:rsid w:val="3B9335A4"/>
    <w:rsid w:val="3B992613"/>
    <w:rsid w:val="3BB24F73"/>
    <w:rsid w:val="3BCD490E"/>
    <w:rsid w:val="3BDB6726"/>
    <w:rsid w:val="3C056780"/>
    <w:rsid w:val="3C0B3B20"/>
    <w:rsid w:val="3C1860E9"/>
    <w:rsid w:val="3C265FAB"/>
    <w:rsid w:val="3C45620B"/>
    <w:rsid w:val="3D0E0B83"/>
    <w:rsid w:val="3D7312A1"/>
    <w:rsid w:val="3D8F2FFE"/>
    <w:rsid w:val="3D8F779B"/>
    <w:rsid w:val="3DB31849"/>
    <w:rsid w:val="3E0B0C1F"/>
    <w:rsid w:val="3E15702B"/>
    <w:rsid w:val="3E247857"/>
    <w:rsid w:val="3E984240"/>
    <w:rsid w:val="3EAD34C3"/>
    <w:rsid w:val="3EBE7C37"/>
    <w:rsid w:val="3EF43DA9"/>
    <w:rsid w:val="3F120426"/>
    <w:rsid w:val="3F1976B6"/>
    <w:rsid w:val="3F5E6431"/>
    <w:rsid w:val="3F823162"/>
    <w:rsid w:val="3F8834DC"/>
    <w:rsid w:val="3F8C0907"/>
    <w:rsid w:val="3F9B5E29"/>
    <w:rsid w:val="400454FD"/>
    <w:rsid w:val="400E49F6"/>
    <w:rsid w:val="40552C1F"/>
    <w:rsid w:val="4057229F"/>
    <w:rsid w:val="405F7DEE"/>
    <w:rsid w:val="40992FB0"/>
    <w:rsid w:val="40DB7824"/>
    <w:rsid w:val="410115DD"/>
    <w:rsid w:val="4111286F"/>
    <w:rsid w:val="418A21AD"/>
    <w:rsid w:val="41A212A1"/>
    <w:rsid w:val="41EC42BB"/>
    <w:rsid w:val="4239228E"/>
    <w:rsid w:val="427D4980"/>
    <w:rsid w:val="428A1304"/>
    <w:rsid w:val="42E44C98"/>
    <w:rsid w:val="431B6113"/>
    <w:rsid w:val="4368266F"/>
    <w:rsid w:val="438834DF"/>
    <w:rsid w:val="43A20A3C"/>
    <w:rsid w:val="440B4462"/>
    <w:rsid w:val="444C66C3"/>
    <w:rsid w:val="445D419E"/>
    <w:rsid w:val="44630F9F"/>
    <w:rsid w:val="446A3603"/>
    <w:rsid w:val="45062140"/>
    <w:rsid w:val="451900C5"/>
    <w:rsid w:val="458B573C"/>
    <w:rsid w:val="45A4118B"/>
    <w:rsid w:val="45CE60A3"/>
    <w:rsid w:val="461C57E1"/>
    <w:rsid w:val="464D2106"/>
    <w:rsid w:val="46572A53"/>
    <w:rsid w:val="465B2718"/>
    <w:rsid w:val="46651F6D"/>
    <w:rsid w:val="46BD2CD2"/>
    <w:rsid w:val="46BE763A"/>
    <w:rsid w:val="46C178CC"/>
    <w:rsid w:val="46F31024"/>
    <w:rsid w:val="46FD3AFE"/>
    <w:rsid w:val="471E0A34"/>
    <w:rsid w:val="4723739A"/>
    <w:rsid w:val="47250EF5"/>
    <w:rsid w:val="476F081E"/>
    <w:rsid w:val="47C21415"/>
    <w:rsid w:val="48206AB3"/>
    <w:rsid w:val="4849652E"/>
    <w:rsid w:val="487415C1"/>
    <w:rsid w:val="48813383"/>
    <w:rsid w:val="48994869"/>
    <w:rsid w:val="489B6E47"/>
    <w:rsid w:val="48B91344"/>
    <w:rsid w:val="48C3403D"/>
    <w:rsid w:val="48D36794"/>
    <w:rsid w:val="4901682D"/>
    <w:rsid w:val="491F1E3E"/>
    <w:rsid w:val="49464420"/>
    <w:rsid w:val="497D2A83"/>
    <w:rsid w:val="497E4D40"/>
    <w:rsid w:val="498D6EB3"/>
    <w:rsid w:val="49A14844"/>
    <w:rsid w:val="49A40179"/>
    <w:rsid w:val="4A38329E"/>
    <w:rsid w:val="4A722025"/>
    <w:rsid w:val="4A786E7C"/>
    <w:rsid w:val="4A812037"/>
    <w:rsid w:val="4ABF0429"/>
    <w:rsid w:val="4AFD0668"/>
    <w:rsid w:val="4B05514E"/>
    <w:rsid w:val="4B7D224D"/>
    <w:rsid w:val="4B88354F"/>
    <w:rsid w:val="4B897577"/>
    <w:rsid w:val="4BA739F3"/>
    <w:rsid w:val="4BAA41B4"/>
    <w:rsid w:val="4BCA5B3F"/>
    <w:rsid w:val="4BCB2F27"/>
    <w:rsid w:val="4BEF3793"/>
    <w:rsid w:val="4BF4339D"/>
    <w:rsid w:val="4C8B29AF"/>
    <w:rsid w:val="4CA010BB"/>
    <w:rsid w:val="4CBA3F1B"/>
    <w:rsid w:val="4CC1550E"/>
    <w:rsid w:val="4CCB5B06"/>
    <w:rsid w:val="4D0A37F3"/>
    <w:rsid w:val="4D380018"/>
    <w:rsid w:val="4D585803"/>
    <w:rsid w:val="4D665494"/>
    <w:rsid w:val="4D7D0483"/>
    <w:rsid w:val="4D8712EF"/>
    <w:rsid w:val="4DFC778B"/>
    <w:rsid w:val="4E281379"/>
    <w:rsid w:val="4E2D0EEC"/>
    <w:rsid w:val="4E4C4964"/>
    <w:rsid w:val="4E5F365E"/>
    <w:rsid w:val="4E91728C"/>
    <w:rsid w:val="4EF42EFE"/>
    <w:rsid w:val="4FDE358A"/>
    <w:rsid w:val="501832A3"/>
    <w:rsid w:val="5019366F"/>
    <w:rsid w:val="50632B28"/>
    <w:rsid w:val="50C63B0F"/>
    <w:rsid w:val="50F36C04"/>
    <w:rsid w:val="51011AC0"/>
    <w:rsid w:val="51086CD3"/>
    <w:rsid w:val="511B035E"/>
    <w:rsid w:val="512B6610"/>
    <w:rsid w:val="516052CE"/>
    <w:rsid w:val="517A3160"/>
    <w:rsid w:val="51D53FD0"/>
    <w:rsid w:val="527F0375"/>
    <w:rsid w:val="528D4348"/>
    <w:rsid w:val="52BF3EA5"/>
    <w:rsid w:val="52E5462F"/>
    <w:rsid w:val="52FC4B82"/>
    <w:rsid w:val="53030193"/>
    <w:rsid w:val="531427EC"/>
    <w:rsid w:val="531C785E"/>
    <w:rsid w:val="533770C8"/>
    <w:rsid w:val="5338243A"/>
    <w:rsid w:val="53AF7E46"/>
    <w:rsid w:val="53B73231"/>
    <w:rsid w:val="53BD0CC2"/>
    <w:rsid w:val="53E84DC7"/>
    <w:rsid w:val="54091EFA"/>
    <w:rsid w:val="543B42DA"/>
    <w:rsid w:val="54481E7C"/>
    <w:rsid w:val="549A2107"/>
    <w:rsid w:val="54E64A90"/>
    <w:rsid w:val="54EF1C22"/>
    <w:rsid w:val="54F43EB0"/>
    <w:rsid w:val="55025399"/>
    <w:rsid w:val="55287EB0"/>
    <w:rsid w:val="55631682"/>
    <w:rsid w:val="55913DE9"/>
    <w:rsid w:val="55B36956"/>
    <w:rsid w:val="55BC0A87"/>
    <w:rsid w:val="55C44EE3"/>
    <w:rsid w:val="55CD6DBF"/>
    <w:rsid w:val="55D409AB"/>
    <w:rsid w:val="55D50038"/>
    <w:rsid w:val="560E70A6"/>
    <w:rsid w:val="564C33E3"/>
    <w:rsid w:val="5658388A"/>
    <w:rsid w:val="565A5E3A"/>
    <w:rsid w:val="567535C9"/>
    <w:rsid w:val="569D1EDD"/>
    <w:rsid w:val="56AA311A"/>
    <w:rsid w:val="56B357D4"/>
    <w:rsid w:val="576B630C"/>
    <w:rsid w:val="57906076"/>
    <w:rsid w:val="57D02238"/>
    <w:rsid w:val="57F77E8D"/>
    <w:rsid w:val="584101D8"/>
    <w:rsid w:val="584366A5"/>
    <w:rsid w:val="58464AEC"/>
    <w:rsid w:val="58474AF1"/>
    <w:rsid w:val="58D37D03"/>
    <w:rsid w:val="58F80B81"/>
    <w:rsid w:val="59171D29"/>
    <w:rsid w:val="591C43EB"/>
    <w:rsid w:val="594B64BC"/>
    <w:rsid w:val="59C1394B"/>
    <w:rsid w:val="59E4333B"/>
    <w:rsid w:val="5A327175"/>
    <w:rsid w:val="5A461F67"/>
    <w:rsid w:val="5A4D12DB"/>
    <w:rsid w:val="5AA95942"/>
    <w:rsid w:val="5B9A1A90"/>
    <w:rsid w:val="5BB71F8E"/>
    <w:rsid w:val="5BEA616D"/>
    <w:rsid w:val="5C620610"/>
    <w:rsid w:val="5C7C27CC"/>
    <w:rsid w:val="5C8E6646"/>
    <w:rsid w:val="5CA1473C"/>
    <w:rsid w:val="5D743AF2"/>
    <w:rsid w:val="5D784DB7"/>
    <w:rsid w:val="5D804113"/>
    <w:rsid w:val="5D8440F2"/>
    <w:rsid w:val="5D86298B"/>
    <w:rsid w:val="5DF574B1"/>
    <w:rsid w:val="5E01598A"/>
    <w:rsid w:val="5E0518AE"/>
    <w:rsid w:val="5E7319C7"/>
    <w:rsid w:val="5EFA0A88"/>
    <w:rsid w:val="5F3F14B1"/>
    <w:rsid w:val="5F4A1944"/>
    <w:rsid w:val="5F69359F"/>
    <w:rsid w:val="5F736A1C"/>
    <w:rsid w:val="5F7C1524"/>
    <w:rsid w:val="61431576"/>
    <w:rsid w:val="61B07674"/>
    <w:rsid w:val="61D16983"/>
    <w:rsid w:val="63AB7D0D"/>
    <w:rsid w:val="63B16DA6"/>
    <w:rsid w:val="63DB101A"/>
    <w:rsid w:val="64325BAA"/>
    <w:rsid w:val="6474563E"/>
    <w:rsid w:val="64DD2E2F"/>
    <w:rsid w:val="64F34037"/>
    <w:rsid w:val="650C79CC"/>
    <w:rsid w:val="651F0B40"/>
    <w:rsid w:val="654A3BA1"/>
    <w:rsid w:val="65720792"/>
    <w:rsid w:val="65727ED4"/>
    <w:rsid w:val="658D11B9"/>
    <w:rsid w:val="65A15618"/>
    <w:rsid w:val="660467A7"/>
    <w:rsid w:val="664663E8"/>
    <w:rsid w:val="66471D7C"/>
    <w:rsid w:val="667D6EFB"/>
    <w:rsid w:val="6694184A"/>
    <w:rsid w:val="66E91E38"/>
    <w:rsid w:val="66FD7813"/>
    <w:rsid w:val="67825ED9"/>
    <w:rsid w:val="67A0385B"/>
    <w:rsid w:val="67B37940"/>
    <w:rsid w:val="67B727B2"/>
    <w:rsid w:val="67ED666C"/>
    <w:rsid w:val="682E35D8"/>
    <w:rsid w:val="686C2A53"/>
    <w:rsid w:val="689C4BB9"/>
    <w:rsid w:val="68A245E2"/>
    <w:rsid w:val="68B0544A"/>
    <w:rsid w:val="690F3CAF"/>
    <w:rsid w:val="696279DD"/>
    <w:rsid w:val="6A0C28CE"/>
    <w:rsid w:val="6A650A4D"/>
    <w:rsid w:val="6A6F1F77"/>
    <w:rsid w:val="6B7060C6"/>
    <w:rsid w:val="6C60029B"/>
    <w:rsid w:val="6C727F37"/>
    <w:rsid w:val="6C81017A"/>
    <w:rsid w:val="6C927168"/>
    <w:rsid w:val="6D8C5247"/>
    <w:rsid w:val="6DB97DE8"/>
    <w:rsid w:val="6DE9247B"/>
    <w:rsid w:val="6DEA7FA1"/>
    <w:rsid w:val="6E904287"/>
    <w:rsid w:val="6EA83056"/>
    <w:rsid w:val="6EB55F1D"/>
    <w:rsid w:val="6EBD30EB"/>
    <w:rsid w:val="6EBE51FD"/>
    <w:rsid w:val="6EF364B6"/>
    <w:rsid w:val="6F0B4673"/>
    <w:rsid w:val="6F2540A9"/>
    <w:rsid w:val="6FE221EA"/>
    <w:rsid w:val="700B56BF"/>
    <w:rsid w:val="700F5C73"/>
    <w:rsid w:val="703D6AAE"/>
    <w:rsid w:val="70817FC6"/>
    <w:rsid w:val="70AF0E0B"/>
    <w:rsid w:val="70C87CAA"/>
    <w:rsid w:val="70CF179B"/>
    <w:rsid w:val="70D34D1C"/>
    <w:rsid w:val="70FB2081"/>
    <w:rsid w:val="71072C18"/>
    <w:rsid w:val="7128150C"/>
    <w:rsid w:val="71723BF8"/>
    <w:rsid w:val="719F2528"/>
    <w:rsid w:val="71B459C5"/>
    <w:rsid w:val="71CB4143"/>
    <w:rsid w:val="71E573FD"/>
    <w:rsid w:val="721C092E"/>
    <w:rsid w:val="723D7934"/>
    <w:rsid w:val="72461E37"/>
    <w:rsid w:val="727266B8"/>
    <w:rsid w:val="72804A5F"/>
    <w:rsid w:val="72C81D24"/>
    <w:rsid w:val="730C2768"/>
    <w:rsid w:val="731955B0"/>
    <w:rsid w:val="73510736"/>
    <w:rsid w:val="73772C48"/>
    <w:rsid w:val="73B34B68"/>
    <w:rsid w:val="73B61051"/>
    <w:rsid w:val="73C87749"/>
    <w:rsid w:val="742D20BE"/>
    <w:rsid w:val="74300B51"/>
    <w:rsid w:val="74373E1F"/>
    <w:rsid w:val="74557B08"/>
    <w:rsid w:val="745909D3"/>
    <w:rsid w:val="74757604"/>
    <w:rsid w:val="756026FD"/>
    <w:rsid w:val="757027FD"/>
    <w:rsid w:val="757C4934"/>
    <w:rsid w:val="758E19B0"/>
    <w:rsid w:val="764C7835"/>
    <w:rsid w:val="76606237"/>
    <w:rsid w:val="76BC0040"/>
    <w:rsid w:val="76E97240"/>
    <w:rsid w:val="76FD6F97"/>
    <w:rsid w:val="77505319"/>
    <w:rsid w:val="77547F95"/>
    <w:rsid w:val="77581BDC"/>
    <w:rsid w:val="776E39F1"/>
    <w:rsid w:val="77DF77F2"/>
    <w:rsid w:val="77F53FBA"/>
    <w:rsid w:val="77FE3901"/>
    <w:rsid w:val="78A056D5"/>
    <w:rsid w:val="78B612F9"/>
    <w:rsid w:val="78B86F01"/>
    <w:rsid w:val="78BD180A"/>
    <w:rsid w:val="78BD2213"/>
    <w:rsid w:val="78CA62AD"/>
    <w:rsid w:val="79383F91"/>
    <w:rsid w:val="795310F0"/>
    <w:rsid w:val="796C56F2"/>
    <w:rsid w:val="79C45B4A"/>
    <w:rsid w:val="79DA4CD9"/>
    <w:rsid w:val="79DC3C10"/>
    <w:rsid w:val="79F32D29"/>
    <w:rsid w:val="7A3031E0"/>
    <w:rsid w:val="7A5F3AF6"/>
    <w:rsid w:val="7A640644"/>
    <w:rsid w:val="7A66765A"/>
    <w:rsid w:val="7AB07AB2"/>
    <w:rsid w:val="7B1D19B6"/>
    <w:rsid w:val="7B375CF7"/>
    <w:rsid w:val="7B6D389F"/>
    <w:rsid w:val="7B7C3CE3"/>
    <w:rsid w:val="7B84301F"/>
    <w:rsid w:val="7B937DA9"/>
    <w:rsid w:val="7BB813CF"/>
    <w:rsid w:val="7BFB159A"/>
    <w:rsid w:val="7C240326"/>
    <w:rsid w:val="7C5365EF"/>
    <w:rsid w:val="7C5F4A2B"/>
    <w:rsid w:val="7C613B24"/>
    <w:rsid w:val="7C6E6F9B"/>
    <w:rsid w:val="7C724B1A"/>
    <w:rsid w:val="7CEC1AF5"/>
    <w:rsid w:val="7D6C5BAD"/>
    <w:rsid w:val="7DDB79A8"/>
    <w:rsid w:val="7DE6477E"/>
    <w:rsid w:val="7DF966B6"/>
    <w:rsid w:val="7E17286F"/>
    <w:rsid w:val="7E265B35"/>
    <w:rsid w:val="7E395726"/>
    <w:rsid w:val="7E54076D"/>
    <w:rsid w:val="7E836D97"/>
    <w:rsid w:val="7E8E73EF"/>
    <w:rsid w:val="7EF23A73"/>
    <w:rsid w:val="7F523D4E"/>
    <w:rsid w:val="7F7D4793"/>
    <w:rsid w:val="F3FD6B2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13"/>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paragraph" w:styleId="9">
    <w:name w:val="List Paragraph"/>
    <w:basedOn w:val="1"/>
    <w:qFormat/>
    <w:uiPriority w:val="34"/>
    <w:pPr>
      <w:ind w:firstLine="420" w:firstLineChars="200"/>
    </w:pPr>
  </w:style>
  <w:style w:type="paragraph" w:customStyle="1" w:styleId="10">
    <w:name w:val="普通(网站) Char"/>
    <w:basedOn w:val="1"/>
    <w:qFormat/>
    <w:uiPriority w:val="0"/>
    <w:pPr>
      <w:spacing w:before="100" w:beforeAutospacing="1" w:after="100" w:afterAutospacing="1"/>
      <w:ind w:left="0" w:right="0"/>
      <w:jc w:val="left"/>
    </w:pPr>
    <w:rPr>
      <w:rFonts w:hint="eastAsia" w:ascii="宋体" w:hAnsi="宋体" w:eastAsia="宋体" w:cs="宋体"/>
      <w:kern w:val="0"/>
      <w:sz w:val="24"/>
      <w:szCs w:val="24"/>
      <w:lang w:val="en-US" w:eastAsia="zh-CN" w:bidi="ar"/>
    </w:rPr>
  </w:style>
  <w:style w:type="character" w:customStyle="1" w:styleId="11">
    <w:name w:val="页眉 字符"/>
    <w:link w:val="4"/>
    <w:qFormat/>
    <w:uiPriority w:val="99"/>
    <w:rPr>
      <w:sz w:val="18"/>
      <w:szCs w:val="18"/>
    </w:rPr>
  </w:style>
  <w:style w:type="character" w:customStyle="1" w:styleId="12">
    <w:name w:val="页脚 字符"/>
    <w:link w:val="3"/>
    <w:qFormat/>
    <w:uiPriority w:val="99"/>
    <w:rPr>
      <w:sz w:val="18"/>
      <w:szCs w:val="18"/>
    </w:rPr>
  </w:style>
  <w:style w:type="character" w:customStyle="1" w:styleId="13">
    <w:name w:val="批注框文本 字符"/>
    <w:link w:val="2"/>
    <w:semiHidden/>
    <w:qFormat/>
    <w:uiPriority w:val="99"/>
    <w:rPr>
      <w:kern w:val="2"/>
      <w:sz w:val="18"/>
      <w:szCs w:val="18"/>
    </w:rPr>
  </w:style>
  <w:style w:type="character" w:customStyle="1" w:styleId="14">
    <w:name w:val="23"/>
    <w:basedOn w:val="7"/>
    <w:qFormat/>
    <w:uiPriority w:val="0"/>
    <w:rPr>
      <w:rFonts w:hint="default" w:ascii="Times New Roman" w:hAnsi="Times New Roman" w:cs="Times New Roman"/>
      <w:b/>
    </w:rPr>
  </w:style>
  <w:style w:type="character" w:customStyle="1" w:styleId="15">
    <w:name w:val="页脚 Char"/>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5</Pages>
  <Words>1882</Words>
  <Characters>1942</Characters>
  <Lines>16</Lines>
  <Paragraphs>4</Paragraphs>
  <TotalTime>17</TotalTime>
  <ScaleCrop>false</ScaleCrop>
  <LinksUpToDate>false</LinksUpToDate>
  <CharactersWithSpaces>1947</CharactersWithSpaces>
  <Application>WPS Office_11.1.0.11551_F1E327BC-269C-435d-A152-05C5408002CA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2021-07-06T14:32:00Z</dcterms:created>
  <dc:creator>微软用户</dc:creator>
  <cp:lastModifiedBy>acer</cp:lastModifiedBy>
  <cp:lastPrinted>2025-08-14T08:12:38Z</cp:lastPrinted>
  <dcterms:modified xsi:type="dcterms:W3CDTF">2025-08-14T08:14:43Z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2052-11.1.0.11551</vt:lpwstr>
  </property>
  <property fmtid="{D5CDD505-2E9C-101B-9397-08002B2CF9AE}" pid="3" name="ICV">
    <vt:lpwstr>C5C051BE58ED47B681D748640379E264</vt:lpwstr>
  </property>
</Properties>
</file>